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B5" w:rsidRPr="004A6E99" w:rsidRDefault="00BE6FB5" w:rsidP="00BE6FB5">
      <w:pPr>
        <w:spacing w:line="321" w:lineRule="exact"/>
        <w:ind w:left="2573" w:right="85"/>
        <w:jc w:val="right"/>
        <w:rPr>
          <w:sz w:val="20"/>
          <w:szCs w:val="20"/>
          <w:lang w:val="ru-RU"/>
        </w:rPr>
      </w:pPr>
      <w:r w:rsidRPr="004A6E99">
        <w:rPr>
          <w:sz w:val="20"/>
          <w:szCs w:val="20"/>
          <w:lang w:val="ru-RU"/>
        </w:rPr>
        <w:t>Приложение №2</w:t>
      </w:r>
    </w:p>
    <w:p w:rsidR="00BE6FB5" w:rsidRPr="004A6E99" w:rsidRDefault="00BE6FB5" w:rsidP="00BE6FB5">
      <w:pPr>
        <w:spacing w:line="321" w:lineRule="exact"/>
        <w:ind w:left="2573" w:right="85"/>
        <w:jc w:val="right"/>
        <w:rPr>
          <w:sz w:val="20"/>
          <w:szCs w:val="20"/>
          <w:lang w:val="ru-RU"/>
        </w:rPr>
      </w:pPr>
      <w:r w:rsidRPr="004A6E99">
        <w:rPr>
          <w:sz w:val="20"/>
          <w:szCs w:val="20"/>
          <w:lang w:val="ru-RU"/>
        </w:rPr>
        <w:t xml:space="preserve">К Регламенту оказания услуг на финансовых рынках </w:t>
      </w:r>
    </w:p>
    <w:p w:rsidR="00BE6FB5" w:rsidRPr="004A6E99" w:rsidRDefault="00BE6FB5" w:rsidP="00BE6FB5">
      <w:pPr>
        <w:spacing w:line="321" w:lineRule="exact"/>
        <w:ind w:left="2573" w:right="85"/>
        <w:jc w:val="right"/>
        <w:rPr>
          <w:sz w:val="20"/>
          <w:szCs w:val="20"/>
          <w:lang w:val="ru-RU"/>
        </w:rPr>
      </w:pPr>
      <w:r w:rsidRPr="004A6E99">
        <w:rPr>
          <w:sz w:val="20"/>
          <w:szCs w:val="20"/>
          <w:lang w:val="ru-RU"/>
        </w:rPr>
        <w:t>ПАО «</w:t>
      </w:r>
      <w:r w:rsidR="001E0FFB">
        <w:rPr>
          <w:sz w:val="20"/>
          <w:szCs w:val="20"/>
          <w:lang w:val="ru-RU"/>
        </w:rPr>
        <w:t>СПБ</w:t>
      </w:r>
      <w:bookmarkStart w:id="0" w:name="_GoBack"/>
      <w:bookmarkEnd w:id="0"/>
      <w:r w:rsidRPr="004A6E99">
        <w:rPr>
          <w:sz w:val="20"/>
          <w:szCs w:val="20"/>
          <w:lang w:val="ru-RU"/>
        </w:rPr>
        <w:t xml:space="preserve"> Банк»</w:t>
      </w:r>
    </w:p>
    <w:p w:rsidR="00BE6FB5" w:rsidRPr="004A6E99" w:rsidRDefault="00BE6FB5" w:rsidP="00BE6FB5">
      <w:pPr>
        <w:spacing w:line="321" w:lineRule="exact"/>
        <w:ind w:left="2573" w:right="85"/>
        <w:jc w:val="right"/>
        <w:rPr>
          <w:b/>
          <w:sz w:val="20"/>
          <w:szCs w:val="20"/>
          <w:lang w:val="ru-RU"/>
        </w:rPr>
      </w:pPr>
    </w:p>
    <w:p w:rsidR="00BE6FB5" w:rsidRPr="004A6E99" w:rsidRDefault="00BE6FB5" w:rsidP="00457FBD">
      <w:pPr>
        <w:spacing w:line="321" w:lineRule="exact"/>
        <w:ind w:left="2573" w:right="85"/>
        <w:rPr>
          <w:b/>
          <w:sz w:val="20"/>
          <w:szCs w:val="20"/>
          <w:lang w:val="ru-RU"/>
        </w:rPr>
      </w:pPr>
      <w:r w:rsidRPr="004A6E99">
        <w:rPr>
          <w:b/>
          <w:sz w:val="20"/>
          <w:szCs w:val="20"/>
          <w:lang w:val="ru-RU"/>
        </w:rPr>
        <w:t xml:space="preserve">Методика оценки </w:t>
      </w:r>
      <w:proofErr w:type="gramStart"/>
      <w:r w:rsidRPr="004A6E99">
        <w:rPr>
          <w:b/>
          <w:sz w:val="20"/>
          <w:szCs w:val="20"/>
          <w:lang w:val="ru-RU"/>
        </w:rPr>
        <w:t>риск-параметров</w:t>
      </w:r>
      <w:proofErr w:type="gramEnd"/>
      <w:r w:rsidRPr="004A6E99">
        <w:rPr>
          <w:b/>
          <w:sz w:val="20"/>
          <w:szCs w:val="20"/>
          <w:lang w:val="ru-RU"/>
        </w:rPr>
        <w:t>.</w:t>
      </w:r>
    </w:p>
    <w:p w:rsidR="00BE6FB5" w:rsidRPr="004A6E99" w:rsidRDefault="00BE6FB5" w:rsidP="00BE6FB5">
      <w:pPr>
        <w:pStyle w:val="a3"/>
        <w:spacing w:before="3"/>
        <w:ind w:left="0"/>
        <w:jc w:val="left"/>
        <w:rPr>
          <w:b/>
          <w:lang w:val="ru-RU"/>
        </w:rPr>
      </w:pPr>
    </w:p>
    <w:p w:rsidR="00BE6FB5" w:rsidRPr="004A6E99" w:rsidRDefault="00BE6FB5" w:rsidP="00BE6FB5">
      <w:pPr>
        <w:pStyle w:val="11"/>
        <w:numPr>
          <w:ilvl w:val="0"/>
          <w:numId w:val="1"/>
        </w:numPr>
        <w:tabs>
          <w:tab w:val="left" w:pos="344"/>
        </w:tabs>
        <w:spacing w:before="0"/>
        <w:ind w:hanging="226"/>
      </w:pPr>
      <w:proofErr w:type="spellStart"/>
      <w:r w:rsidRPr="004A6E99">
        <w:t>Термины</w:t>
      </w:r>
      <w:proofErr w:type="spellEnd"/>
      <w:r w:rsidRPr="004A6E99">
        <w:t xml:space="preserve"> и</w:t>
      </w:r>
      <w:r w:rsidRPr="004A6E99">
        <w:rPr>
          <w:spacing w:val="-7"/>
        </w:rPr>
        <w:t xml:space="preserve"> </w:t>
      </w:r>
      <w:proofErr w:type="spellStart"/>
      <w:r w:rsidRPr="004A6E99">
        <w:t>определения</w:t>
      </w:r>
      <w:proofErr w:type="spellEnd"/>
      <w:r w:rsidRPr="004A6E99">
        <w:t>.</w:t>
      </w:r>
    </w:p>
    <w:p w:rsidR="00BE6FB5" w:rsidRPr="004A6E99" w:rsidRDefault="00BE6FB5" w:rsidP="001C01F4">
      <w:pPr>
        <w:pStyle w:val="a5"/>
        <w:numPr>
          <w:ilvl w:val="1"/>
          <w:numId w:val="1"/>
        </w:numPr>
        <w:tabs>
          <w:tab w:val="left" w:pos="709"/>
        </w:tabs>
        <w:ind w:left="709" w:right="106" w:hanging="425"/>
        <w:rPr>
          <w:sz w:val="20"/>
          <w:szCs w:val="20"/>
          <w:lang w:val="ru-RU"/>
        </w:rPr>
      </w:pPr>
      <w:r w:rsidRPr="004A6E99">
        <w:rPr>
          <w:sz w:val="20"/>
          <w:szCs w:val="20"/>
          <w:lang w:val="ru-RU"/>
        </w:rPr>
        <w:t xml:space="preserve">В настоящей Методике используются следующие термины и определения с целью определения </w:t>
      </w:r>
      <w:proofErr w:type="gramStart"/>
      <w:r w:rsidRPr="004A6E99">
        <w:rPr>
          <w:sz w:val="20"/>
          <w:szCs w:val="20"/>
          <w:lang w:val="ru-RU"/>
        </w:rPr>
        <w:t>риск-параметров</w:t>
      </w:r>
      <w:proofErr w:type="gramEnd"/>
      <w:r w:rsidRPr="004A6E99">
        <w:rPr>
          <w:sz w:val="20"/>
          <w:szCs w:val="20"/>
          <w:lang w:val="ru-RU"/>
        </w:rPr>
        <w:t xml:space="preserve"> на Валютном</w:t>
      </w:r>
      <w:r w:rsidR="001C01F4" w:rsidRPr="004A6E99">
        <w:rPr>
          <w:sz w:val="20"/>
          <w:szCs w:val="20"/>
          <w:lang w:val="ru-RU"/>
        </w:rPr>
        <w:t xml:space="preserve"> рынке</w:t>
      </w:r>
      <w:r w:rsidRPr="004A6E99">
        <w:rPr>
          <w:sz w:val="20"/>
          <w:szCs w:val="20"/>
          <w:lang w:val="ru-RU"/>
        </w:rPr>
        <w:t>, Срочном</w:t>
      </w:r>
      <w:r w:rsidR="001C01F4" w:rsidRPr="004A6E99">
        <w:rPr>
          <w:sz w:val="20"/>
          <w:szCs w:val="20"/>
          <w:lang w:val="ru-RU"/>
        </w:rPr>
        <w:t xml:space="preserve"> рынке</w:t>
      </w:r>
      <w:r w:rsidRPr="004A6E99">
        <w:rPr>
          <w:sz w:val="20"/>
          <w:szCs w:val="20"/>
          <w:lang w:val="ru-RU"/>
        </w:rPr>
        <w:t xml:space="preserve">, Фондовом </w:t>
      </w:r>
      <w:r w:rsidR="001C01F4" w:rsidRPr="004A6E99">
        <w:rPr>
          <w:sz w:val="20"/>
          <w:szCs w:val="20"/>
          <w:lang w:val="ru-RU"/>
        </w:rPr>
        <w:t xml:space="preserve">рынке </w:t>
      </w:r>
      <w:r w:rsidRPr="004A6E99">
        <w:rPr>
          <w:sz w:val="20"/>
          <w:szCs w:val="20"/>
          <w:lang w:val="ru-RU"/>
        </w:rPr>
        <w:t>и Внебиржевом</w:t>
      </w:r>
      <w:r w:rsidRPr="004A6E99">
        <w:rPr>
          <w:spacing w:val="-14"/>
          <w:sz w:val="20"/>
          <w:szCs w:val="20"/>
          <w:lang w:val="ru-RU"/>
        </w:rPr>
        <w:t xml:space="preserve">  </w:t>
      </w:r>
      <w:r w:rsidRPr="004A6E99">
        <w:rPr>
          <w:sz w:val="20"/>
          <w:szCs w:val="20"/>
          <w:lang w:val="ru-RU"/>
        </w:rPr>
        <w:t>рынк</w:t>
      </w:r>
      <w:r w:rsidR="001C01F4" w:rsidRPr="004A6E99">
        <w:rPr>
          <w:sz w:val="20"/>
          <w:szCs w:val="20"/>
          <w:lang w:val="ru-RU"/>
        </w:rPr>
        <w:t>е</w:t>
      </w:r>
      <w:r w:rsidRPr="004A6E99">
        <w:rPr>
          <w:sz w:val="20"/>
          <w:szCs w:val="20"/>
          <w:lang w:val="ru-RU"/>
        </w:rPr>
        <w:t>:</w:t>
      </w:r>
    </w:p>
    <w:p w:rsidR="00BE6FB5" w:rsidRPr="004A6E99" w:rsidRDefault="00BE6FB5" w:rsidP="006D4C01">
      <w:pPr>
        <w:pStyle w:val="a3"/>
        <w:tabs>
          <w:tab w:val="left" w:pos="709"/>
        </w:tabs>
        <w:ind w:left="709" w:right="102"/>
        <w:rPr>
          <w:lang w:val="ru-RU"/>
        </w:rPr>
      </w:pPr>
      <w:r w:rsidRPr="004A6E99">
        <w:rPr>
          <w:spacing w:val="-50"/>
          <w:w w:val="99"/>
          <w:u w:val="single"/>
          <w:lang w:val="ru-RU"/>
        </w:rPr>
        <w:t xml:space="preserve"> </w:t>
      </w:r>
      <w:r w:rsidRPr="004A6E99">
        <w:rPr>
          <w:u w:val="single"/>
          <w:lang w:val="ru-RU"/>
        </w:rPr>
        <w:t>Цена закрытия на Срочном рынке</w:t>
      </w:r>
      <w:r w:rsidRPr="004A6E99">
        <w:rPr>
          <w:lang w:val="ru-RU"/>
        </w:rPr>
        <w:t xml:space="preserve"> –</w:t>
      </w:r>
      <w:r w:rsidR="001C01F4" w:rsidRPr="004A6E99">
        <w:rPr>
          <w:lang w:val="ru-RU"/>
        </w:rPr>
        <w:t xml:space="preserve"> цена, значение которой</w:t>
      </w:r>
      <w:r w:rsidRPr="004A6E99">
        <w:rPr>
          <w:lang w:val="ru-RU"/>
        </w:rPr>
        <w:t xml:space="preserve"> принимается равной последней расчетной цене, определённой в соответствии с методикой определения расчётной цены договоров, являющихся производными  финансовыми инструментами, заключаемых на Срочном рынке.</w:t>
      </w:r>
    </w:p>
    <w:p w:rsidR="00BE6FB5" w:rsidRPr="004A6E99" w:rsidRDefault="00BE6FB5" w:rsidP="006D4C01">
      <w:pPr>
        <w:pStyle w:val="a3"/>
        <w:tabs>
          <w:tab w:val="left" w:pos="709"/>
        </w:tabs>
        <w:ind w:left="709" w:right="102"/>
        <w:rPr>
          <w:lang w:val="ru-RU"/>
        </w:rPr>
      </w:pPr>
      <w:r w:rsidRPr="004A6E99">
        <w:rPr>
          <w:spacing w:val="-50"/>
          <w:w w:val="99"/>
          <w:u w:val="single"/>
          <w:lang w:val="ru-RU"/>
        </w:rPr>
        <w:t xml:space="preserve"> </w:t>
      </w:r>
      <w:r w:rsidRPr="004A6E99">
        <w:rPr>
          <w:u w:val="single"/>
          <w:lang w:val="ru-RU"/>
        </w:rPr>
        <w:t>Цена закрытия на Валютном рынке</w:t>
      </w:r>
      <w:r w:rsidRPr="004A6E99">
        <w:rPr>
          <w:lang w:val="ru-RU"/>
        </w:rPr>
        <w:t xml:space="preserve"> – </w:t>
      </w:r>
      <w:r w:rsidR="001C01F4" w:rsidRPr="004A6E99">
        <w:rPr>
          <w:lang w:val="ru-RU"/>
        </w:rPr>
        <w:t xml:space="preserve">цена, значение которой </w:t>
      </w:r>
      <w:r w:rsidRPr="004A6E99">
        <w:rPr>
          <w:lang w:val="ru-RU"/>
        </w:rPr>
        <w:t xml:space="preserve">принимается равной центральному курсу, определяемому из Методики определения </w:t>
      </w:r>
      <w:proofErr w:type="gramStart"/>
      <w:r w:rsidRPr="004A6E99">
        <w:rPr>
          <w:lang w:val="ru-RU"/>
        </w:rPr>
        <w:t>риск-п</w:t>
      </w:r>
      <w:r w:rsidR="00140BF6" w:rsidRPr="004A6E99">
        <w:rPr>
          <w:lang w:val="ru-RU"/>
        </w:rPr>
        <w:t>араметров</w:t>
      </w:r>
      <w:proofErr w:type="gramEnd"/>
      <w:r w:rsidR="00140BF6" w:rsidRPr="004A6E99">
        <w:rPr>
          <w:lang w:val="ru-RU"/>
        </w:rPr>
        <w:t xml:space="preserve"> валютного рынка П</w:t>
      </w:r>
      <w:r w:rsidRPr="004A6E99">
        <w:rPr>
          <w:lang w:val="ru-RU"/>
        </w:rPr>
        <w:t>АО Московская Биржа.</w:t>
      </w:r>
    </w:p>
    <w:p w:rsidR="00BE6FB5" w:rsidRPr="004A6E99" w:rsidRDefault="00BE6FB5" w:rsidP="006D4C01">
      <w:pPr>
        <w:pStyle w:val="a3"/>
        <w:tabs>
          <w:tab w:val="left" w:pos="709"/>
        </w:tabs>
        <w:ind w:left="709" w:right="100"/>
        <w:rPr>
          <w:lang w:val="ru-RU"/>
        </w:rPr>
      </w:pPr>
      <w:r w:rsidRPr="004A6E99">
        <w:rPr>
          <w:spacing w:val="-50"/>
          <w:w w:val="99"/>
          <w:u w:val="single"/>
          <w:lang w:val="ru-RU"/>
        </w:rPr>
        <w:t xml:space="preserve"> </w:t>
      </w:r>
      <w:r w:rsidRPr="004A6E99">
        <w:rPr>
          <w:u w:val="single"/>
          <w:lang w:val="ru-RU"/>
        </w:rPr>
        <w:t>Цена закрытия на Фондовом рынке</w:t>
      </w:r>
      <w:r w:rsidRPr="004A6E99">
        <w:rPr>
          <w:lang w:val="ru-RU"/>
        </w:rPr>
        <w:t xml:space="preserve"> – цена, используемая </w:t>
      </w:r>
      <w:r w:rsidR="00D62AC6" w:rsidRPr="004A6E99">
        <w:rPr>
          <w:rFonts w:ascii="Tahoma" w:hAnsi="Tahoma" w:cs="Tahoma"/>
          <w:lang w:val="ru-RU"/>
        </w:rPr>
        <w:t>НКО НКЦ (АО)</w:t>
      </w:r>
      <w:r w:rsidR="004A6E99" w:rsidRPr="004A6E99">
        <w:rPr>
          <w:rFonts w:ascii="Tahoma" w:hAnsi="Tahoma" w:cs="Tahoma"/>
          <w:lang w:val="ru-RU"/>
        </w:rPr>
        <w:t xml:space="preserve"> </w:t>
      </w:r>
      <w:r w:rsidRPr="004A6E99">
        <w:rPr>
          <w:lang w:val="ru-RU"/>
        </w:rPr>
        <w:t>для установления значений Верхней и Нижней границы ценового коридора, а также Верхней и Нижней границы диапазона оценки рыночных рисков.</w:t>
      </w:r>
    </w:p>
    <w:p w:rsidR="00BE6FB5" w:rsidRPr="004A6E99" w:rsidRDefault="00BE6FB5" w:rsidP="006D4C01">
      <w:pPr>
        <w:pStyle w:val="a3"/>
        <w:tabs>
          <w:tab w:val="left" w:pos="709"/>
        </w:tabs>
        <w:ind w:left="709" w:right="100"/>
        <w:rPr>
          <w:lang w:val="ru-RU"/>
        </w:rPr>
      </w:pPr>
      <w:r w:rsidRPr="004A6E99">
        <w:rPr>
          <w:spacing w:val="-50"/>
          <w:w w:val="99"/>
          <w:u w:val="single"/>
          <w:lang w:val="ru-RU"/>
        </w:rPr>
        <w:t xml:space="preserve"> </w:t>
      </w:r>
      <w:r w:rsidRPr="004A6E99">
        <w:rPr>
          <w:u w:val="single"/>
          <w:lang w:val="ru-RU"/>
        </w:rPr>
        <w:t>Текущая цена</w:t>
      </w:r>
      <w:r w:rsidRPr="004A6E99">
        <w:rPr>
          <w:lang w:val="ru-RU"/>
        </w:rPr>
        <w:t xml:space="preserve"> – цена</w:t>
      </w:r>
      <w:r w:rsidR="001C01F4" w:rsidRPr="004A6E99">
        <w:rPr>
          <w:lang w:val="ru-RU"/>
        </w:rPr>
        <w:t>, определенная</w:t>
      </w:r>
      <w:r w:rsidRPr="004A6E99">
        <w:rPr>
          <w:lang w:val="ru-RU"/>
        </w:rPr>
        <w:t xml:space="preserve"> в режиме основных торгов за </w:t>
      </w:r>
      <w:r w:rsidR="001C01F4" w:rsidRPr="004A6E99">
        <w:rPr>
          <w:lang w:val="ru-RU"/>
        </w:rPr>
        <w:t>ц</w:t>
      </w:r>
      <w:r w:rsidRPr="004A6E99">
        <w:rPr>
          <w:lang w:val="ru-RU"/>
        </w:rPr>
        <w:t xml:space="preserve">енную бумагу со сроком расчетов </w:t>
      </w:r>
      <w:r w:rsidRPr="004A6E99">
        <w:t>T</w:t>
      </w:r>
      <w:r w:rsidRPr="004A6E99">
        <w:rPr>
          <w:lang w:val="ru-RU"/>
        </w:rPr>
        <w:t>+2 и</w:t>
      </w:r>
      <w:r w:rsidR="001C01F4" w:rsidRPr="004A6E99">
        <w:rPr>
          <w:lang w:val="ru-RU"/>
        </w:rPr>
        <w:t xml:space="preserve"> (</w:t>
      </w:r>
      <w:r w:rsidRPr="004A6E99">
        <w:rPr>
          <w:lang w:val="ru-RU"/>
        </w:rPr>
        <w:t>или</w:t>
      </w:r>
      <w:r w:rsidR="001C01F4" w:rsidRPr="004A6E99">
        <w:rPr>
          <w:lang w:val="ru-RU"/>
        </w:rPr>
        <w:t>)</w:t>
      </w:r>
      <w:r w:rsidRPr="004A6E99">
        <w:rPr>
          <w:lang w:val="ru-RU"/>
        </w:rPr>
        <w:t xml:space="preserve"> инструмент со сроком расчетами в д</w:t>
      </w:r>
      <w:r w:rsidR="006D4C01" w:rsidRPr="004A6E99">
        <w:rPr>
          <w:lang w:val="ru-RU"/>
        </w:rPr>
        <w:t xml:space="preserve">ень </w:t>
      </w:r>
      <w:r w:rsidRPr="004A6E99">
        <w:t>T</w:t>
      </w:r>
      <w:r w:rsidRPr="004A6E99">
        <w:rPr>
          <w:lang w:val="ru-RU"/>
        </w:rPr>
        <w:t>+1 (</w:t>
      </w:r>
      <w:r w:rsidRPr="004A6E99">
        <w:t>TOM</w:t>
      </w:r>
      <w:r w:rsidRPr="004A6E99">
        <w:rPr>
          <w:lang w:val="ru-RU"/>
        </w:rPr>
        <w:t>)</w:t>
      </w:r>
      <w:r w:rsidR="001C01F4" w:rsidRPr="004A6E99">
        <w:rPr>
          <w:lang w:val="ru-RU"/>
        </w:rPr>
        <w:t xml:space="preserve"> на Валютном рынке</w:t>
      </w:r>
      <w:r w:rsidRPr="004A6E99">
        <w:rPr>
          <w:lang w:val="ru-RU"/>
        </w:rPr>
        <w:t>. На конец торгового дня под Текущей ценой принимается официальные значения цен закрытия Инструментов, определ</w:t>
      </w:r>
      <w:r w:rsidR="00140BF6" w:rsidRPr="004A6E99">
        <w:rPr>
          <w:lang w:val="ru-RU"/>
        </w:rPr>
        <w:t>е</w:t>
      </w:r>
      <w:r w:rsidRPr="004A6E99">
        <w:rPr>
          <w:lang w:val="ru-RU"/>
        </w:rPr>
        <w:t>нных в соответствии с внутренними документами Системы проведения торгов.</w:t>
      </w:r>
    </w:p>
    <w:p w:rsidR="00BE6FB5" w:rsidRPr="004A6E99" w:rsidRDefault="00BE6FB5" w:rsidP="001C01F4">
      <w:pPr>
        <w:pStyle w:val="a5"/>
        <w:numPr>
          <w:ilvl w:val="1"/>
          <w:numId w:val="1"/>
        </w:numPr>
        <w:tabs>
          <w:tab w:val="left" w:pos="709"/>
        </w:tabs>
        <w:spacing w:before="118"/>
        <w:ind w:left="709" w:right="101" w:hanging="425"/>
        <w:rPr>
          <w:sz w:val="20"/>
          <w:szCs w:val="20"/>
          <w:lang w:val="ru-RU"/>
        </w:rPr>
      </w:pPr>
      <w:r w:rsidRPr="004A6E99">
        <w:rPr>
          <w:sz w:val="20"/>
          <w:szCs w:val="20"/>
          <w:lang w:val="ru-RU"/>
        </w:rPr>
        <w:t>Термины, специально не определенные в настоящей Методике, используются в значениях, определенных законодательством Российской Федерации, внутренними документами Банка и Систем проведения</w:t>
      </w:r>
      <w:r w:rsidRPr="004A6E99">
        <w:rPr>
          <w:spacing w:val="-6"/>
          <w:sz w:val="20"/>
          <w:szCs w:val="20"/>
          <w:lang w:val="ru-RU"/>
        </w:rPr>
        <w:t xml:space="preserve"> </w:t>
      </w:r>
      <w:r w:rsidRPr="004A6E99">
        <w:rPr>
          <w:sz w:val="20"/>
          <w:szCs w:val="20"/>
          <w:lang w:val="ru-RU"/>
        </w:rPr>
        <w:t>торгов.</w:t>
      </w:r>
    </w:p>
    <w:p w:rsidR="00BE6FB5" w:rsidRPr="004A6E99" w:rsidRDefault="00BE6FB5" w:rsidP="00BE6FB5">
      <w:pPr>
        <w:pStyle w:val="11"/>
        <w:numPr>
          <w:ilvl w:val="0"/>
          <w:numId w:val="1"/>
        </w:numPr>
        <w:tabs>
          <w:tab w:val="left" w:pos="344"/>
        </w:tabs>
        <w:ind w:hanging="226"/>
      </w:pPr>
      <w:proofErr w:type="spellStart"/>
      <w:r w:rsidRPr="004A6E99">
        <w:t>Параметры</w:t>
      </w:r>
      <w:proofErr w:type="spellEnd"/>
      <w:r w:rsidRPr="004A6E99">
        <w:t xml:space="preserve"> </w:t>
      </w:r>
      <w:proofErr w:type="spellStart"/>
      <w:r w:rsidRPr="004A6E99">
        <w:t>системы</w:t>
      </w:r>
      <w:proofErr w:type="spellEnd"/>
      <w:r w:rsidRPr="004A6E99">
        <w:t xml:space="preserve"> </w:t>
      </w:r>
      <w:proofErr w:type="spellStart"/>
      <w:r w:rsidRPr="004A6E99">
        <w:t>управления</w:t>
      </w:r>
      <w:proofErr w:type="spellEnd"/>
      <w:r w:rsidRPr="004A6E99">
        <w:rPr>
          <w:spacing w:val="-13"/>
        </w:rPr>
        <w:t xml:space="preserve"> </w:t>
      </w:r>
      <w:proofErr w:type="spellStart"/>
      <w:r w:rsidRPr="004A6E99">
        <w:t>рисками</w:t>
      </w:r>
      <w:proofErr w:type="spellEnd"/>
      <w:r w:rsidRPr="004A6E99">
        <w:t>.</w:t>
      </w:r>
    </w:p>
    <w:p w:rsidR="00BE6FB5" w:rsidRPr="004A6E99" w:rsidRDefault="001C01F4" w:rsidP="00BE6FB5">
      <w:pPr>
        <w:pStyle w:val="a5"/>
        <w:numPr>
          <w:ilvl w:val="1"/>
          <w:numId w:val="1"/>
        </w:numPr>
        <w:tabs>
          <w:tab w:val="left" w:pos="1119"/>
        </w:tabs>
        <w:rPr>
          <w:sz w:val="20"/>
          <w:szCs w:val="20"/>
          <w:lang w:val="ru-RU"/>
        </w:rPr>
      </w:pPr>
      <w:r w:rsidRPr="004A6E99">
        <w:rPr>
          <w:sz w:val="20"/>
          <w:szCs w:val="20"/>
          <w:lang w:val="ru-RU"/>
        </w:rPr>
        <w:t xml:space="preserve">Настоящая </w:t>
      </w:r>
      <w:r w:rsidR="00BE6FB5" w:rsidRPr="004A6E99">
        <w:rPr>
          <w:sz w:val="20"/>
          <w:szCs w:val="20"/>
          <w:lang w:val="ru-RU"/>
        </w:rPr>
        <w:t xml:space="preserve">Методика содержит правила определения </w:t>
      </w:r>
      <w:proofErr w:type="gramStart"/>
      <w:r w:rsidR="00BE6FB5" w:rsidRPr="004A6E99">
        <w:rPr>
          <w:sz w:val="20"/>
          <w:szCs w:val="20"/>
          <w:lang w:val="ru-RU"/>
        </w:rPr>
        <w:t>следующих</w:t>
      </w:r>
      <w:proofErr w:type="gramEnd"/>
      <w:r w:rsidR="00BE6FB5" w:rsidRPr="004A6E99">
        <w:rPr>
          <w:spacing w:val="-19"/>
          <w:sz w:val="20"/>
          <w:szCs w:val="20"/>
          <w:lang w:val="ru-RU"/>
        </w:rPr>
        <w:t xml:space="preserve"> </w:t>
      </w:r>
      <w:r w:rsidR="00BE6FB5" w:rsidRPr="004A6E99">
        <w:rPr>
          <w:sz w:val="20"/>
          <w:szCs w:val="20"/>
          <w:lang w:val="ru-RU"/>
        </w:rPr>
        <w:t>риск-параметров:</w:t>
      </w:r>
    </w:p>
    <w:p w:rsidR="00BE6FB5" w:rsidRPr="004A6E99" w:rsidRDefault="00BE6FB5" w:rsidP="00BE6FB5">
      <w:pPr>
        <w:pStyle w:val="a5"/>
        <w:numPr>
          <w:ilvl w:val="2"/>
          <w:numId w:val="1"/>
        </w:numPr>
        <w:tabs>
          <w:tab w:val="left" w:pos="1537"/>
        </w:tabs>
        <w:spacing w:before="1" w:line="244" w:lineRule="exact"/>
        <w:ind w:hanging="283"/>
        <w:jc w:val="left"/>
        <w:rPr>
          <w:sz w:val="20"/>
          <w:szCs w:val="20"/>
        </w:rPr>
      </w:pPr>
      <w:proofErr w:type="spellStart"/>
      <w:r w:rsidRPr="004A6E99">
        <w:rPr>
          <w:sz w:val="20"/>
          <w:szCs w:val="20"/>
        </w:rPr>
        <w:t>Средств</w:t>
      </w:r>
      <w:proofErr w:type="spellEnd"/>
      <w:r w:rsidRPr="004A6E99">
        <w:rPr>
          <w:sz w:val="20"/>
          <w:szCs w:val="20"/>
        </w:rPr>
        <w:t xml:space="preserve"> </w:t>
      </w:r>
      <w:proofErr w:type="spellStart"/>
      <w:r w:rsidRPr="004A6E99">
        <w:rPr>
          <w:sz w:val="20"/>
          <w:szCs w:val="20"/>
        </w:rPr>
        <w:t>гарантийного</w:t>
      </w:r>
      <w:proofErr w:type="spellEnd"/>
      <w:r w:rsidRPr="004A6E99">
        <w:rPr>
          <w:spacing w:val="-5"/>
          <w:sz w:val="20"/>
          <w:szCs w:val="20"/>
        </w:rPr>
        <w:t xml:space="preserve"> </w:t>
      </w:r>
      <w:proofErr w:type="spellStart"/>
      <w:r w:rsidRPr="004A6E99">
        <w:rPr>
          <w:sz w:val="20"/>
          <w:szCs w:val="20"/>
        </w:rPr>
        <w:t>обеспечения</w:t>
      </w:r>
      <w:proofErr w:type="spellEnd"/>
      <w:r w:rsidRPr="004A6E99">
        <w:rPr>
          <w:sz w:val="20"/>
          <w:szCs w:val="20"/>
        </w:rPr>
        <w:t>;</w:t>
      </w:r>
    </w:p>
    <w:p w:rsidR="00BE6FB5" w:rsidRPr="004A6E99" w:rsidRDefault="00BE6FB5" w:rsidP="00BE6FB5">
      <w:pPr>
        <w:pStyle w:val="a5"/>
        <w:numPr>
          <w:ilvl w:val="2"/>
          <w:numId w:val="1"/>
        </w:numPr>
        <w:tabs>
          <w:tab w:val="left" w:pos="1537"/>
        </w:tabs>
        <w:spacing w:before="0" w:line="242" w:lineRule="exact"/>
        <w:ind w:hanging="283"/>
        <w:jc w:val="left"/>
        <w:rPr>
          <w:sz w:val="20"/>
          <w:szCs w:val="20"/>
        </w:rPr>
      </w:pPr>
      <w:proofErr w:type="spellStart"/>
      <w:r w:rsidRPr="004A6E99">
        <w:rPr>
          <w:sz w:val="20"/>
          <w:szCs w:val="20"/>
        </w:rPr>
        <w:t>Гарантийное</w:t>
      </w:r>
      <w:proofErr w:type="spellEnd"/>
      <w:r w:rsidRPr="004A6E99">
        <w:rPr>
          <w:spacing w:val="-5"/>
          <w:sz w:val="20"/>
          <w:szCs w:val="20"/>
        </w:rPr>
        <w:t xml:space="preserve"> </w:t>
      </w:r>
      <w:proofErr w:type="spellStart"/>
      <w:r w:rsidRPr="004A6E99">
        <w:rPr>
          <w:sz w:val="20"/>
          <w:szCs w:val="20"/>
        </w:rPr>
        <w:t>обеспечение</w:t>
      </w:r>
      <w:proofErr w:type="spellEnd"/>
      <w:r w:rsidRPr="004A6E99">
        <w:rPr>
          <w:sz w:val="20"/>
          <w:szCs w:val="20"/>
        </w:rPr>
        <w:t>;</w:t>
      </w:r>
    </w:p>
    <w:p w:rsidR="00BE6FB5" w:rsidRPr="004A6E99" w:rsidRDefault="00BE6FB5" w:rsidP="00BE6FB5">
      <w:pPr>
        <w:pStyle w:val="a5"/>
        <w:numPr>
          <w:ilvl w:val="2"/>
          <w:numId w:val="1"/>
        </w:numPr>
        <w:tabs>
          <w:tab w:val="left" w:pos="1537"/>
        </w:tabs>
        <w:spacing w:before="0" w:line="244" w:lineRule="exact"/>
        <w:ind w:hanging="283"/>
        <w:jc w:val="left"/>
        <w:rPr>
          <w:sz w:val="20"/>
          <w:szCs w:val="20"/>
        </w:rPr>
      </w:pPr>
      <w:proofErr w:type="spellStart"/>
      <w:r w:rsidRPr="004A6E99">
        <w:rPr>
          <w:sz w:val="20"/>
          <w:szCs w:val="20"/>
        </w:rPr>
        <w:t>Задолженност</w:t>
      </w:r>
      <w:proofErr w:type="spellEnd"/>
      <w:r w:rsidR="001C01F4" w:rsidRPr="004A6E99">
        <w:rPr>
          <w:sz w:val="20"/>
          <w:szCs w:val="20"/>
          <w:lang w:val="ru-RU"/>
        </w:rPr>
        <w:t>и</w:t>
      </w:r>
      <w:r w:rsidRPr="004A6E99">
        <w:rPr>
          <w:sz w:val="20"/>
          <w:szCs w:val="20"/>
          <w:lang w:val="ru-RU"/>
        </w:rPr>
        <w:t>;</w:t>
      </w:r>
    </w:p>
    <w:p w:rsidR="00BE6FB5" w:rsidRPr="004A6E99" w:rsidRDefault="00BE6FB5" w:rsidP="00BE6FB5">
      <w:pPr>
        <w:pStyle w:val="a5"/>
        <w:numPr>
          <w:ilvl w:val="2"/>
          <w:numId w:val="1"/>
        </w:numPr>
        <w:tabs>
          <w:tab w:val="left" w:pos="1537"/>
        </w:tabs>
        <w:spacing w:before="0"/>
        <w:ind w:hanging="283"/>
        <w:jc w:val="left"/>
        <w:rPr>
          <w:sz w:val="20"/>
          <w:szCs w:val="20"/>
        </w:rPr>
      </w:pPr>
      <w:proofErr w:type="spellStart"/>
      <w:r w:rsidRPr="004A6E99">
        <w:rPr>
          <w:sz w:val="20"/>
          <w:szCs w:val="20"/>
        </w:rPr>
        <w:t>Уровен</w:t>
      </w:r>
      <w:proofErr w:type="spellEnd"/>
      <w:r w:rsidR="001C01F4" w:rsidRPr="004A6E99">
        <w:rPr>
          <w:sz w:val="20"/>
          <w:szCs w:val="20"/>
          <w:lang w:val="ru-RU"/>
        </w:rPr>
        <w:t>я</w:t>
      </w:r>
      <w:r w:rsidRPr="004A6E99">
        <w:rPr>
          <w:spacing w:val="-5"/>
          <w:sz w:val="20"/>
          <w:szCs w:val="20"/>
        </w:rPr>
        <w:t xml:space="preserve"> </w:t>
      </w:r>
      <w:proofErr w:type="spellStart"/>
      <w:r w:rsidRPr="004A6E99">
        <w:rPr>
          <w:sz w:val="20"/>
          <w:szCs w:val="20"/>
        </w:rPr>
        <w:t>покрытия</w:t>
      </w:r>
      <w:proofErr w:type="spellEnd"/>
      <w:r w:rsidRPr="004A6E99">
        <w:rPr>
          <w:sz w:val="20"/>
          <w:szCs w:val="20"/>
        </w:rPr>
        <w:t>.</w:t>
      </w:r>
    </w:p>
    <w:p w:rsidR="00BE6FB5" w:rsidRPr="004A6E99" w:rsidRDefault="00BE6FB5" w:rsidP="00BE6FB5">
      <w:pPr>
        <w:pStyle w:val="11"/>
        <w:numPr>
          <w:ilvl w:val="0"/>
          <w:numId w:val="1"/>
        </w:numPr>
        <w:tabs>
          <w:tab w:val="left" w:pos="344"/>
        </w:tabs>
        <w:spacing w:before="114"/>
        <w:ind w:hanging="226"/>
      </w:pPr>
      <w:proofErr w:type="spellStart"/>
      <w:r w:rsidRPr="004A6E99">
        <w:t>Расч</w:t>
      </w:r>
      <w:proofErr w:type="spellEnd"/>
      <w:r w:rsidRPr="004A6E99">
        <w:rPr>
          <w:lang w:val="ru-RU"/>
        </w:rPr>
        <w:t>е</w:t>
      </w:r>
      <w:r w:rsidRPr="004A6E99">
        <w:t xml:space="preserve">т </w:t>
      </w:r>
      <w:proofErr w:type="spellStart"/>
      <w:r w:rsidRPr="004A6E99">
        <w:t>Средств</w:t>
      </w:r>
      <w:proofErr w:type="spellEnd"/>
      <w:r w:rsidRPr="004A6E99">
        <w:t xml:space="preserve"> </w:t>
      </w:r>
      <w:proofErr w:type="spellStart"/>
      <w:r w:rsidRPr="004A6E99">
        <w:t>гарантийного</w:t>
      </w:r>
      <w:proofErr w:type="spellEnd"/>
      <w:r w:rsidRPr="004A6E99">
        <w:rPr>
          <w:spacing w:val="-9"/>
        </w:rPr>
        <w:t xml:space="preserve"> </w:t>
      </w:r>
      <w:proofErr w:type="spellStart"/>
      <w:r w:rsidRPr="004A6E99">
        <w:t>обеспечения</w:t>
      </w:r>
      <w:proofErr w:type="spellEnd"/>
      <w:r w:rsidRPr="004A6E99">
        <w:t>.</w:t>
      </w:r>
    </w:p>
    <w:p w:rsidR="00BE6FB5" w:rsidRPr="004A6E99" w:rsidRDefault="00BE6FB5" w:rsidP="00BE6FB5">
      <w:pPr>
        <w:pStyle w:val="a5"/>
        <w:numPr>
          <w:ilvl w:val="1"/>
          <w:numId w:val="1"/>
        </w:numPr>
        <w:tabs>
          <w:tab w:val="left" w:pos="1119"/>
        </w:tabs>
        <w:ind w:right="98"/>
        <w:rPr>
          <w:sz w:val="20"/>
          <w:szCs w:val="20"/>
          <w:lang w:val="ru-RU"/>
        </w:rPr>
      </w:pPr>
      <w:r w:rsidRPr="004A6E99">
        <w:rPr>
          <w:sz w:val="20"/>
          <w:szCs w:val="20"/>
          <w:lang w:val="ru-RU"/>
        </w:rPr>
        <w:t>Средства гарантийного обеспечения для Клиентов на Валютном рынке и Внебиржевом  рынке, на которых заключаются договоры купли-продажи иностранной валюты, рассчитываются по следующей</w:t>
      </w:r>
      <w:r w:rsidRPr="004A6E99">
        <w:rPr>
          <w:spacing w:val="-11"/>
          <w:sz w:val="20"/>
          <w:szCs w:val="20"/>
          <w:lang w:val="ru-RU"/>
        </w:rPr>
        <w:t xml:space="preserve"> </w:t>
      </w:r>
      <w:r w:rsidRPr="004A6E99">
        <w:rPr>
          <w:sz w:val="20"/>
          <w:szCs w:val="20"/>
          <w:lang w:val="ru-RU"/>
        </w:rPr>
        <w:t>формуле:</w:t>
      </w:r>
    </w:p>
    <w:p w:rsidR="00BE6FB5" w:rsidRPr="004A6E99" w:rsidRDefault="00BE6FB5" w:rsidP="00BE6FB5">
      <w:pPr>
        <w:pStyle w:val="a3"/>
        <w:ind w:left="0"/>
        <w:jc w:val="left"/>
        <w:rPr>
          <w:lang w:val="ru-RU"/>
        </w:rPr>
      </w:pPr>
    </w:p>
    <w:p w:rsidR="00BE6FB5" w:rsidRPr="004A6E99" w:rsidRDefault="00BE6FB5" w:rsidP="00BE6FB5">
      <w:pPr>
        <w:spacing w:before="120" w:after="120"/>
        <w:ind w:left="1000"/>
        <w:jc w:val="center"/>
        <w:rPr>
          <w:sz w:val="20"/>
          <w:szCs w:val="20"/>
          <w:lang w:val="ru-RU"/>
        </w:rPr>
      </w:pPr>
      <m:oMath>
        <m:r>
          <w:rPr>
            <w:rFonts w:ascii="Cambria Math" w:hAnsi="Cambria Math"/>
            <w:sz w:val="20"/>
            <w:szCs w:val="20"/>
            <w:lang w:val="ru-RU"/>
          </w:rPr>
          <m:t>СГО=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  <m:r>
              <w:rPr>
                <w:rFonts w:ascii="Cambria Math" w:hAnsi="Cambria Math"/>
                <w:sz w:val="20"/>
                <w:szCs w:val="20"/>
                <w:lang w:val="ru-RU"/>
              </w:rPr>
              <m:t>∈</m:t>
            </m:r>
            <m:r>
              <w:rPr>
                <w:rFonts w:ascii="Cambria Math" w:hAnsi="Cambria Math"/>
                <w:sz w:val="20"/>
                <w:szCs w:val="20"/>
              </w:rPr>
              <m:t>L</m:t>
            </m:r>
          </m:sub>
          <m:sup/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ru-RU"/>
                      </w:rPr>
                      <m:t>,0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  <w:lang w:val="ru-RU"/>
                  </w:rPr>
                  <m:t>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  <m:sup/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ru-RU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ru-RU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  <w:sz w:val="20"/>
                    <w:szCs w:val="20"/>
                    <w:lang w:val="ru-RU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ru-RU"/>
                      </w:rPr>
                      <m:t>,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L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  <w:lang w:val="ru-RU"/>
                  </w:rPr>
                  <m:t>)</m:t>
                </m:r>
              </m:e>
            </m:d>
            <m:r>
              <w:rPr>
                <w:rFonts w:ascii="Cambria Math" w:hAnsi="Cambria Math"/>
                <w:sz w:val="20"/>
                <w:szCs w:val="20"/>
                <w:lang w:val="ru-RU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FXRate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0"/>
            <w:szCs w:val="20"/>
            <w:lang w:val="ru-RU"/>
          </w:rPr>
          <m:t>-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b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L</m:t>
            </m:r>
          </m:sup>
        </m:sSubSup>
      </m:oMath>
      <w:r w:rsidRPr="004A6E99">
        <w:rPr>
          <w:sz w:val="20"/>
          <w:szCs w:val="20"/>
          <w:lang w:val="ru-RU"/>
        </w:rPr>
        <w:t>,</w:t>
      </w:r>
    </w:p>
    <w:p w:rsidR="00BE6FB5" w:rsidRPr="004A6E99" w:rsidRDefault="00BE6FB5" w:rsidP="00BE6FB5">
      <w:pPr>
        <w:spacing w:before="118"/>
        <w:rPr>
          <w:sz w:val="20"/>
          <w:szCs w:val="20"/>
          <w:lang w:val="ru-RU"/>
        </w:rPr>
      </w:pPr>
      <w:r w:rsidRPr="004A6E99">
        <w:rPr>
          <w:rFonts w:eastAsia="Cambria Math"/>
          <w:sz w:val="20"/>
          <w:szCs w:val="20"/>
          <w:lang w:val="ru-RU"/>
        </w:rPr>
        <w:t xml:space="preserve">                       </w:t>
      </w:r>
      <w:r w:rsidRPr="004A6E99">
        <w:rPr>
          <w:w w:val="95"/>
          <w:sz w:val="20"/>
          <w:szCs w:val="20"/>
          <w:lang w:val="ru-RU"/>
        </w:rPr>
        <w:t>где:</w:t>
      </w:r>
    </w:p>
    <w:p w:rsidR="00BE6FB5" w:rsidRPr="004A6E99" w:rsidRDefault="001C01F4" w:rsidP="00BE6FB5">
      <w:pPr>
        <w:pStyle w:val="a3"/>
        <w:spacing w:before="122"/>
        <w:rPr>
          <w:lang w:val="ru-RU"/>
        </w:rPr>
      </w:pPr>
      <m:oMath>
        <m:r>
          <w:rPr>
            <w:rFonts w:ascii="Cambria Math" w:hAnsi="Cambria Math"/>
            <w:lang w:val="ru-RU"/>
          </w:rPr>
          <m:t>СГО</m:t>
        </m:r>
      </m:oMath>
      <w:r w:rsidR="00BE6FB5" w:rsidRPr="004A6E99">
        <w:rPr>
          <w:lang w:val="ru-RU"/>
        </w:rPr>
        <w:t xml:space="preserve"> </w:t>
      </w:r>
      <w:r w:rsidR="00BE6FB5" w:rsidRPr="004A6E99">
        <w:rPr>
          <w:i/>
          <w:lang w:val="ru-RU"/>
        </w:rPr>
        <w:t xml:space="preserve">– </w:t>
      </w:r>
      <w:r w:rsidR="00BE6FB5" w:rsidRPr="004A6E99">
        <w:rPr>
          <w:lang w:val="ru-RU"/>
        </w:rPr>
        <w:t>Средства гарантийного обеспечения;</w:t>
      </w:r>
    </w:p>
    <w:p w:rsidR="00BE6FB5" w:rsidRPr="004A6E99" w:rsidRDefault="00BE6FB5" w:rsidP="00BE6FB5">
      <w:pPr>
        <w:pStyle w:val="a3"/>
        <w:spacing w:before="120"/>
        <w:rPr>
          <w:lang w:val="ru-RU"/>
        </w:rPr>
      </w:pPr>
      <m:oMath>
        <m:r>
          <w:rPr>
            <w:rFonts w:ascii="Cambria Math" w:hAnsi="Cambria Math"/>
          </w:rPr>
          <m:t>L</m:t>
        </m:r>
      </m:oMath>
      <w:r w:rsidRPr="004A6E99">
        <w:rPr>
          <w:rFonts w:eastAsia="Cambria Math"/>
          <w:lang w:val="ru-RU"/>
        </w:rPr>
        <w:t xml:space="preserve"> </w:t>
      </w:r>
      <w:r w:rsidRPr="004A6E99">
        <w:rPr>
          <w:lang w:val="ru-RU"/>
        </w:rPr>
        <w:t>– количество Инструментов, по которым Клиент имеет Открытые позиции;</w:t>
      </w:r>
    </w:p>
    <w:p w:rsidR="00BE6FB5" w:rsidRPr="004A6E99" w:rsidRDefault="001E0FFB" w:rsidP="00BE6FB5">
      <w:pPr>
        <w:pStyle w:val="a3"/>
        <w:spacing w:before="82" w:line="252" w:lineRule="auto"/>
        <w:ind w:right="100"/>
        <w:jc w:val="left"/>
        <w:rPr>
          <w:lang w:val="ru-RU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  <w:lang w:val="ru-RU"/>
              </w:rPr>
              <m:t>,0</m:t>
            </m:r>
          </m:sub>
          <m:sup>
            <m:r>
              <w:rPr>
                <w:rFonts w:ascii="Cambria Math" w:hAnsi="Cambria Math"/>
              </w:rPr>
              <m:t>A</m:t>
            </m:r>
          </m:sup>
        </m:sSubSup>
      </m:oMath>
      <w:r w:rsidR="00BE6FB5" w:rsidRPr="004A6E99">
        <w:rPr>
          <w:i/>
          <w:lang w:val="ru-RU"/>
        </w:rPr>
        <w:t xml:space="preserve">– </w:t>
      </w:r>
      <w:r w:rsidR="00BE6FB5" w:rsidRPr="004A6E99">
        <w:rPr>
          <w:lang w:val="ru-RU"/>
        </w:rPr>
        <w:t xml:space="preserve">остаток денежных средств в единицах </w:t>
      </w:r>
      <w:r w:rsidR="00BE6FB5" w:rsidRPr="004A6E99">
        <w:t>i</w:t>
      </w:r>
      <w:r w:rsidR="00BE6FB5" w:rsidRPr="004A6E99">
        <w:rPr>
          <w:lang w:val="ru-RU"/>
        </w:rPr>
        <w:t>-ой валюты, учитываемых на Счётах Клиента, учитываемых в рамках одного Портфеля;</w:t>
      </w:r>
    </w:p>
    <w:p w:rsidR="00BE6FB5" w:rsidRPr="004A6E99" w:rsidRDefault="001E0FFB" w:rsidP="00BE6FB5">
      <w:pPr>
        <w:pStyle w:val="a3"/>
        <w:spacing w:before="82" w:line="252" w:lineRule="auto"/>
        <w:ind w:right="100"/>
        <w:jc w:val="left"/>
        <w:rPr>
          <w:lang w:val="ru-RU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  <w:lang w:val="ru-RU"/>
              </w:rPr>
              <m:t>,</m:t>
            </m:r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A</m:t>
            </m:r>
          </m:sup>
        </m:sSubSup>
      </m:oMath>
      <w:r w:rsidR="00BE6FB5" w:rsidRPr="004A6E99">
        <w:rPr>
          <w:lang w:val="ru-RU"/>
        </w:rPr>
        <w:t xml:space="preserve"> – сумма денежных средств в единицах </w:t>
      </w:r>
      <w:r w:rsidR="00BE6FB5" w:rsidRPr="004A6E99">
        <w:t>i</w:t>
      </w:r>
      <w:r w:rsidR="00BE6FB5" w:rsidRPr="004A6E99">
        <w:rPr>
          <w:lang w:val="ru-RU"/>
        </w:rPr>
        <w:t xml:space="preserve">-ой валюты, которая должна поступить на Счета Клиента, учитываемых в рамках одного Портфеля в результате исполнения </w:t>
      </w:r>
      <w:r w:rsidR="00BE6FB5" w:rsidRPr="004A6E99">
        <w:t>n</w:t>
      </w:r>
      <w:r w:rsidR="00BE6FB5" w:rsidRPr="004A6E99">
        <w:rPr>
          <w:lang w:val="ru-RU"/>
        </w:rPr>
        <w:t>-го обязательства;</w:t>
      </w:r>
    </w:p>
    <w:p w:rsidR="00BE6FB5" w:rsidRPr="004A6E99" w:rsidRDefault="001E0FFB" w:rsidP="00BE6FB5">
      <w:pPr>
        <w:pStyle w:val="a3"/>
        <w:spacing w:before="82" w:line="252" w:lineRule="auto"/>
        <w:ind w:right="100"/>
        <w:jc w:val="left"/>
        <w:rPr>
          <w:lang w:val="ru-RU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L</m:t>
            </m:r>
          </m:sup>
        </m:sSubSup>
      </m:oMath>
      <w:r w:rsidR="00BE6FB5" w:rsidRPr="004A6E99">
        <w:rPr>
          <w:lang w:val="ru-RU"/>
        </w:rPr>
        <w:t xml:space="preserve"> – сумма денежных обязательств в единицах </w:t>
      </w:r>
      <w:r w:rsidR="00BE6FB5" w:rsidRPr="004A6E99">
        <w:t>i</w:t>
      </w:r>
      <w:r w:rsidR="00BE6FB5" w:rsidRPr="004A6E99">
        <w:rPr>
          <w:lang w:val="ru-RU"/>
        </w:rPr>
        <w:t>-ой валюты, которые должны быть исполнены со Счета Клиента, учитываемых в рамках одного Портфеля;</w:t>
      </w:r>
    </w:p>
    <w:p w:rsidR="00BE6FB5" w:rsidRPr="004A6E99" w:rsidRDefault="001E0FFB" w:rsidP="00BE6FB5">
      <w:pPr>
        <w:pStyle w:val="a3"/>
        <w:spacing w:before="82" w:line="252" w:lineRule="auto"/>
        <w:ind w:right="100"/>
        <w:jc w:val="left"/>
        <w:rPr>
          <w:lang w:val="ru-RU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p>
        </m:sSubSup>
      </m:oMath>
      <w:r w:rsidR="00BE6FB5" w:rsidRPr="004A6E99">
        <w:rPr>
          <w:lang w:val="ru-RU"/>
        </w:rPr>
        <w:t xml:space="preserve"> – суммы вознаграждений и (или) возмещения (оплаты) расходов в российских рублях, на которые Банк вправе рассчитывать в соответствии с Регламентом;</w:t>
      </w:r>
    </w:p>
    <w:p w:rsidR="00BE6FB5" w:rsidRPr="004A6E99" w:rsidRDefault="001E0FFB" w:rsidP="00BE6FB5">
      <w:pPr>
        <w:pStyle w:val="a3"/>
        <w:spacing w:before="82" w:line="252" w:lineRule="auto"/>
        <w:ind w:right="100"/>
        <w:jc w:val="left"/>
        <w:rPr>
          <w:i/>
          <w:lang w:val="ru-RU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FXRate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BE6FB5" w:rsidRPr="004A6E99">
        <w:rPr>
          <w:lang w:val="ru-RU"/>
        </w:rPr>
        <w:t xml:space="preserve">– Текущая цена </w:t>
      </w:r>
      <w:r w:rsidR="00BE6FB5" w:rsidRPr="004A6E99">
        <w:t>i</w:t>
      </w:r>
      <w:r w:rsidR="00BE6FB5" w:rsidRPr="004A6E99">
        <w:rPr>
          <w:lang w:val="ru-RU"/>
        </w:rPr>
        <w:t>-й иностранной валюты к российскому рублю с расч</w:t>
      </w:r>
      <w:r w:rsidR="002A37DB" w:rsidRPr="004A6E99">
        <w:rPr>
          <w:lang w:val="ru-RU"/>
        </w:rPr>
        <w:t>е</w:t>
      </w:r>
      <w:r w:rsidR="00BE6FB5" w:rsidRPr="004A6E99">
        <w:rPr>
          <w:lang w:val="ru-RU"/>
        </w:rPr>
        <w:t>тами «</w:t>
      </w:r>
      <w:r w:rsidR="001C01F4" w:rsidRPr="004A6E99">
        <w:t>TOM</w:t>
      </w:r>
      <w:r w:rsidR="00BE6FB5" w:rsidRPr="004A6E99">
        <w:rPr>
          <w:lang w:val="ru-RU"/>
        </w:rPr>
        <w:t xml:space="preserve">». Если </w:t>
      </w:r>
      <w:r w:rsidR="00BE6FB5" w:rsidRPr="004A6E99">
        <w:t>i</w:t>
      </w:r>
      <w:r w:rsidR="00BE6FB5" w:rsidRPr="004A6E99">
        <w:rPr>
          <w:lang w:val="ru-RU"/>
        </w:rPr>
        <w:t xml:space="preserve">-ой валютой является российский рубль, значение показателя </w:t>
      </w:r>
      <w:r w:rsidR="00BE6FB5" w:rsidRPr="004A6E99">
        <w:rPr>
          <w:rFonts w:ascii="Cambria Math" w:hAnsi="Cambria Math" w:cs="Cambria Math"/>
        </w:rPr>
        <w:t>𝐹𝑋𝑅𝑎𝑡𝑒𝑖</w:t>
      </w:r>
      <w:r w:rsidR="00BE6FB5" w:rsidRPr="004A6E99">
        <w:rPr>
          <w:lang w:val="ru-RU"/>
        </w:rPr>
        <w:t xml:space="preserve"> принимается равным 1.</w:t>
      </w:r>
    </w:p>
    <w:p w:rsidR="00BE6FB5" w:rsidRPr="004A6E99" w:rsidRDefault="00BE6FB5" w:rsidP="00BE6FB5">
      <w:pPr>
        <w:pStyle w:val="a5"/>
        <w:numPr>
          <w:ilvl w:val="1"/>
          <w:numId w:val="1"/>
        </w:numPr>
        <w:tabs>
          <w:tab w:val="left" w:pos="1119"/>
        </w:tabs>
        <w:spacing w:before="120"/>
        <w:ind w:right="119"/>
        <w:rPr>
          <w:sz w:val="20"/>
          <w:szCs w:val="20"/>
          <w:lang w:val="ru-RU"/>
        </w:rPr>
      </w:pPr>
      <w:r w:rsidRPr="004A6E99">
        <w:rPr>
          <w:sz w:val="20"/>
          <w:szCs w:val="20"/>
          <w:lang w:val="ru-RU"/>
        </w:rPr>
        <w:t>Средства гарантийного обеспечения Клиента на Срочном рынке рассчитываются как сумма российских рублей, учитываемых на Сч</w:t>
      </w:r>
      <w:r w:rsidR="002A37DB" w:rsidRPr="004A6E99">
        <w:rPr>
          <w:sz w:val="20"/>
          <w:szCs w:val="20"/>
          <w:lang w:val="ru-RU"/>
        </w:rPr>
        <w:t>е</w:t>
      </w:r>
      <w:r w:rsidRPr="004A6E99">
        <w:rPr>
          <w:sz w:val="20"/>
          <w:szCs w:val="20"/>
          <w:lang w:val="ru-RU"/>
        </w:rPr>
        <w:t>те Клиента, предназначенном для уч</w:t>
      </w:r>
      <w:r w:rsidR="002A37DB" w:rsidRPr="004A6E99">
        <w:rPr>
          <w:sz w:val="20"/>
          <w:szCs w:val="20"/>
          <w:lang w:val="ru-RU"/>
        </w:rPr>
        <w:t>е</w:t>
      </w:r>
      <w:r w:rsidRPr="004A6E99">
        <w:rPr>
          <w:sz w:val="20"/>
          <w:szCs w:val="20"/>
          <w:lang w:val="ru-RU"/>
        </w:rPr>
        <w:t>та обязательств по Срочному рынку.</w:t>
      </w:r>
    </w:p>
    <w:p w:rsidR="00BE6FB5" w:rsidRPr="004A6E99" w:rsidRDefault="00BE6FB5" w:rsidP="00BE6FB5">
      <w:pPr>
        <w:pStyle w:val="a5"/>
        <w:numPr>
          <w:ilvl w:val="1"/>
          <w:numId w:val="1"/>
        </w:numPr>
        <w:tabs>
          <w:tab w:val="left" w:pos="1119"/>
        </w:tabs>
        <w:spacing w:before="120"/>
        <w:ind w:right="119"/>
        <w:rPr>
          <w:sz w:val="20"/>
          <w:szCs w:val="20"/>
          <w:lang w:val="ru-RU"/>
        </w:rPr>
      </w:pPr>
      <w:proofErr w:type="gramStart"/>
      <w:r w:rsidRPr="004A6E99">
        <w:rPr>
          <w:sz w:val="20"/>
          <w:szCs w:val="20"/>
          <w:lang w:val="ru-RU"/>
        </w:rPr>
        <w:t>Средства гарантийного обеспечения Клиента, чьи позиции не учитываются в рамках Обособленного расчетного кода, на Фондовом рынке и Внебиржевом рынке, на которых заключатся договоры купли-продажи ценных бумаг, рассчитываются по следующей</w:t>
      </w:r>
      <w:r w:rsidRPr="004A6E99">
        <w:rPr>
          <w:spacing w:val="-20"/>
          <w:sz w:val="20"/>
          <w:szCs w:val="20"/>
          <w:lang w:val="ru-RU"/>
        </w:rPr>
        <w:t xml:space="preserve"> </w:t>
      </w:r>
      <w:r w:rsidRPr="004A6E99">
        <w:rPr>
          <w:sz w:val="20"/>
          <w:szCs w:val="20"/>
          <w:lang w:val="ru-RU"/>
        </w:rPr>
        <w:t>формуле:</w:t>
      </w:r>
      <w:proofErr w:type="gramEnd"/>
    </w:p>
    <w:p w:rsidR="00BE6FB5" w:rsidRPr="004A6E99" w:rsidRDefault="00BE6FB5" w:rsidP="00BE6FB5">
      <w:pPr>
        <w:tabs>
          <w:tab w:val="left" w:pos="1119"/>
        </w:tabs>
        <w:spacing w:before="120"/>
        <w:ind w:right="119"/>
        <w:rPr>
          <w:sz w:val="20"/>
          <w:szCs w:val="20"/>
          <w:lang w:val="ru-RU"/>
        </w:rPr>
      </w:pPr>
    </w:p>
    <w:p w:rsidR="00BE6FB5" w:rsidRPr="004A6E99" w:rsidRDefault="00BE6FB5" w:rsidP="00BE6FB5">
      <w:pPr>
        <w:jc w:val="center"/>
        <w:rPr>
          <w:i/>
          <w:sz w:val="20"/>
          <w:szCs w:val="20"/>
          <w:lang w:val="ru-RU"/>
        </w:rPr>
      </w:pPr>
      <m:oMath>
        <m:r>
          <w:rPr>
            <w:rFonts w:ascii="Cambria Math" w:hAnsi="Cambria Math"/>
            <w:sz w:val="20"/>
            <w:szCs w:val="20"/>
            <w:lang w:val="ru-RU"/>
          </w:rPr>
          <m:t>СГО=</m:t>
        </m:r>
        <m:r>
          <w:rPr>
            <w:rFonts w:ascii="Cambria Math" w:hAnsi="Cambria Math"/>
            <w:sz w:val="20"/>
            <w:szCs w:val="20"/>
          </w:rPr>
          <m:t>RUR</m:t>
        </m:r>
        <m:r>
          <w:rPr>
            <w:rFonts w:ascii="Cambria Math" w:hAnsi="Cambria Math"/>
            <w:sz w:val="20"/>
            <w:szCs w:val="20"/>
            <w:lang w:val="ru-RU"/>
          </w:rPr>
          <m:t>+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  <m:r>
              <w:rPr>
                <w:rFonts w:ascii="Cambria Math" w:hAnsi="Cambria Math"/>
                <w:sz w:val="20"/>
                <w:szCs w:val="20"/>
                <w:lang w:val="ru-RU"/>
              </w:rPr>
              <m:t>∈</m:t>
            </m:r>
            <m:r>
              <w:rPr>
                <w:rFonts w:ascii="Cambria Math" w:hAnsi="Cambria Math"/>
                <w:sz w:val="20"/>
                <w:szCs w:val="20"/>
              </w:rPr>
              <m:t>L</m:t>
            </m:r>
          </m:sub>
          <m:sup/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ru-RU"/>
                      </w:rPr>
                      <m:t>,0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  <w:lang w:val="ru-RU"/>
                  </w:rPr>
                  <m:t>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  <m:sup/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ru-RU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ru-RU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  <w:sz w:val="20"/>
                    <w:szCs w:val="20"/>
                    <w:lang w:val="ru-RU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ru-RU"/>
                      </w:rPr>
                      <m:t>,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L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  <w:lang w:val="ru-RU"/>
                  </w:rPr>
                  <m:t>)</m:t>
                </m:r>
              </m:e>
            </m:d>
            <m:r>
              <w:rPr>
                <w:rFonts w:ascii="Cambria Math" w:hAnsi="Cambria Math"/>
                <w:sz w:val="20"/>
                <w:szCs w:val="20"/>
                <w:lang w:val="ru-RU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ru-RU"/>
                      </w:rPr>
                      <m:t>,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ru-RU"/>
                  </w:rPr>
                  <m:t>*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FXRate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ru-RU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b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sup>
            </m:sSubSup>
          </m:e>
        </m:nary>
      </m:oMath>
      <w:r w:rsidRPr="004A6E99">
        <w:rPr>
          <w:i/>
          <w:sz w:val="20"/>
          <w:szCs w:val="20"/>
          <w:lang w:val="ru-RU"/>
        </w:rPr>
        <w:t>,</w:t>
      </w:r>
    </w:p>
    <w:p w:rsidR="00BE6FB5" w:rsidRPr="004A6E99" w:rsidRDefault="00BE6FB5" w:rsidP="00BE6FB5">
      <w:pPr>
        <w:jc w:val="center"/>
        <w:rPr>
          <w:i/>
          <w:sz w:val="20"/>
          <w:szCs w:val="20"/>
          <w:lang w:val="ru-RU"/>
        </w:rPr>
      </w:pPr>
    </w:p>
    <w:p w:rsidR="0012455D" w:rsidRPr="004A6E99" w:rsidRDefault="00457FBD" w:rsidP="00BE6FB5">
      <w:pPr>
        <w:rPr>
          <w:sz w:val="20"/>
          <w:szCs w:val="20"/>
          <w:lang w:val="ru-RU"/>
        </w:rPr>
      </w:pPr>
      <w:r w:rsidRPr="004A6E99">
        <w:rPr>
          <w:i/>
          <w:sz w:val="20"/>
          <w:szCs w:val="20"/>
          <w:lang w:val="ru-RU"/>
        </w:rPr>
        <w:t xml:space="preserve">                    </w:t>
      </w:r>
      <w:r w:rsidR="00BE6FB5" w:rsidRPr="004A6E99">
        <w:rPr>
          <w:sz w:val="20"/>
          <w:szCs w:val="20"/>
          <w:lang w:val="ru-RU"/>
        </w:rPr>
        <w:t>где:</w:t>
      </w:r>
    </w:p>
    <w:p w:rsidR="00BE6FB5" w:rsidRPr="004A6E99" w:rsidRDefault="00BC3378" w:rsidP="00BE6FB5">
      <w:pPr>
        <w:spacing w:before="120" w:after="120"/>
        <w:ind w:left="1000"/>
        <w:rPr>
          <w:sz w:val="20"/>
          <w:szCs w:val="20"/>
          <w:lang w:val="ru-RU"/>
        </w:rPr>
      </w:pPr>
      <m:oMath>
        <m:r>
          <w:rPr>
            <w:rFonts w:ascii="Cambria Math" w:hAnsi="Cambria Math"/>
            <w:sz w:val="20"/>
            <w:szCs w:val="20"/>
            <w:lang w:val="ru-RU"/>
          </w:rPr>
          <m:t>СГО</m:t>
        </m:r>
      </m:oMath>
      <w:r w:rsidR="00BE6FB5" w:rsidRPr="004A6E99">
        <w:rPr>
          <w:sz w:val="20"/>
          <w:szCs w:val="20"/>
          <w:lang w:val="ru-RU"/>
        </w:rPr>
        <w:t xml:space="preserve"> – Средства гарантийного обеспечения;</w:t>
      </w:r>
    </w:p>
    <w:p w:rsidR="00BE6FB5" w:rsidRPr="004A6E99" w:rsidRDefault="00BE6FB5" w:rsidP="00BE6FB5">
      <w:pPr>
        <w:spacing w:before="120" w:after="120"/>
        <w:ind w:left="1000"/>
        <w:rPr>
          <w:sz w:val="20"/>
          <w:szCs w:val="20"/>
          <w:lang w:val="ru-RU"/>
        </w:rPr>
      </w:pPr>
      <m:oMath>
        <m:r>
          <w:rPr>
            <w:rFonts w:ascii="Cambria Math" w:hAnsi="Cambria Math"/>
            <w:sz w:val="20"/>
            <w:szCs w:val="20"/>
          </w:rPr>
          <m:t>RUR</m:t>
        </m:r>
      </m:oMath>
      <w:r w:rsidRPr="004A6E99">
        <w:rPr>
          <w:sz w:val="20"/>
          <w:szCs w:val="20"/>
          <w:lang w:val="ru-RU"/>
        </w:rPr>
        <w:t xml:space="preserve"> – российские рубли, учитываемых на Сч</w:t>
      </w:r>
      <w:r w:rsidR="002A37DB" w:rsidRPr="004A6E99">
        <w:rPr>
          <w:sz w:val="20"/>
          <w:szCs w:val="20"/>
          <w:lang w:val="ru-RU"/>
        </w:rPr>
        <w:t>е</w:t>
      </w:r>
      <w:r w:rsidRPr="004A6E99">
        <w:rPr>
          <w:sz w:val="20"/>
          <w:szCs w:val="20"/>
          <w:lang w:val="ru-RU"/>
        </w:rPr>
        <w:t>те Клиента, предназначенном для уч</w:t>
      </w:r>
      <w:r w:rsidR="002A37DB" w:rsidRPr="004A6E99">
        <w:rPr>
          <w:sz w:val="20"/>
          <w:szCs w:val="20"/>
          <w:lang w:val="ru-RU"/>
        </w:rPr>
        <w:t>е</w:t>
      </w:r>
      <w:r w:rsidRPr="004A6E99">
        <w:rPr>
          <w:sz w:val="20"/>
          <w:szCs w:val="20"/>
          <w:lang w:val="ru-RU"/>
        </w:rPr>
        <w:t>та операций на Фондовом рынке, учитываемых в рамках одного Портфеля;</w:t>
      </w:r>
    </w:p>
    <w:p w:rsidR="00BE6FB5" w:rsidRPr="004A6E99" w:rsidRDefault="00BE6FB5" w:rsidP="00BE6FB5">
      <w:pPr>
        <w:spacing w:before="120" w:after="120"/>
        <w:ind w:left="1000"/>
        <w:rPr>
          <w:sz w:val="20"/>
          <w:szCs w:val="20"/>
          <w:lang w:val="ru-RU"/>
        </w:rPr>
      </w:pP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L</m:t>
        </m:r>
      </m:oMath>
      <w:r w:rsidRPr="004A6E99">
        <w:rPr>
          <w:sz w:val="20"/>
          <w:szCs w:val="20"/>
          <w:lang w:val="ru-RU"/>
        </w:rPr>
        <w:t xml:space="preserve"> – количество Ценных бумаг, по которым Клиент имеет Открытые позиции;</w:t>
      </w:r>
    </w:p>
    <w:p w:rsidR="00BE6FB5" w:rsidRPr="004A6E99" w:rsidRDefault="001E0FFB" w:rsidP="00BE6FB5">
      <w:pPr>
        <w:spacing w:before="120" w:after="120"/>
        <w:ind w:left="1000"/>
        <w:rPr>
          <w:sz w:val="20"/>
          <w:szCs w:val="20"/>
          <w:lang w:val="ru-RU"/>
        </w:rPr>
      </w:pPr>
      <m:oMath>
        <m:sSubSup>
          <m:sSubSupPr>
            <m:ctrlPr>
              <w:rPr>
                <w:rFonts w:ascii="Cambria Math" w:hAnsi="Cambria Math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ru-RU"/>
              </w:rPr>
              <m:t>,0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A</m:t>
            </m:r>
          </m:sup>
        </m:sSubSup>
      </m:oMath>
      <w:r w:rsidR="00BE6FB5" w:rsidRPr="004A6E99">
        <w:rPr>
          <w:sz w:val="20"/>
          <w:szCs w:val="20"/>
          <w:lang w:val="ru-RU"/>
        </w:rPr>
        <w:t xml:space="preserve">– остаток </w:t>
      </w:r>
      <w:r w:rsidR="00BE6FB5" w:rsidRPr="004A6E99">
        <w:rPr>
          <w:sz w:val="20"/>
          <w:szCs w:val="20"/>
        </w:rPr>
        <w:t>i</w:t>
      </w:r>
      <w:r w:rsidR="00BE6FB5" w:rsidRPr="004A6E99">
        <w:rPr>
          <w:sz w:val="20"/>
          <w:szCs w:val="20"/>
          <w:lang w:val="ru-RU"/>
        </w:rPr>
        <w:t>-ых Ценных бумаг, учитываемых на Сч</w:t>
      </w:r>
      <w:r w:rsidR="002A37DB" w:rsidRPr="004A6E99">
        <w:rPr>
          <w:sz w:val="20"/>
          <w:szCs w:val="20"/>
          <w:lang w:val="ru-RU"/>
        </w:rPr>
        <w:t>е</w:t>
      </w:r>
      <w:r w:rsidR="00BE6FB5" w:rsidRPr="004A6E99">
        <w:rPr>
          <w:sz w:val="20"/>
          <w:szCs w:val="20"/>
          <w:lang w:val="ru-RU"/>
        </w:rPr>
        <w:t>те депо Клиента, учитываемых в рамках одного Портфеля;</w:t>
      </w:r>
    </w:p>
    <w:p w:rsidR="00BE6FB5" w:rsidRPr="004A6E99" w:rsidRDefault="001E0FFB" w:rsidP="00BE6FB5">
      <w:pPr>
        <w:spacing w:before="120" w:after="120"/>
        <w:ind w:left="1000"/>
        <w:rPr>
          <w:sz w:val="20"/>
          <w:szCs w:val="20"/>
          <w:lang w:val="ru-RU"/>
        </w:rPr>
      </w:pPr>
      <m:oMath>
        <m:sSubSup>
          <m:sSubSupPr>
            <m:ctrlPr>
              <w:rPr>
                <w:rFonts w:ascii="Cambria Math" w:hAnsi="Cambria Math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ru-RU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A</m:t>
            </m:r>
          </m:sup>
        </m:sSubSup>
      </m:oMath>
      <w:r w:rsidR="00BE6FB5" w:rsidRPr="004A6E99">
        <w:rPr>
          <w:sz w:val="20"/>
          <w:szCs w:val="20"/>
          <w:lang w:val="ru-RU"/>
        </w:rPr>
        <w:t xml:space="preserve">– количество </w:t>
      </w:r>
      <w:r w:rsidR="00BE6FB5" w:rsidRPr="004A6E99">
        <w:rPr>
          <w:sz w:val="20"/>
          <w:szCs w:val="20"/>
        </w:rPr>
        <w:t>i</w:t>
      </w:r>
      <w:r w:rsidR="00BE6FB5" w:rsidRPr="004A6E99">
        <w:rPr>
          <w:sz w:val="20"/>
          <w:szCs w:val="20"/>
          <w:lang w:val="ru-RU"/>
        </w:rPr>
        <w:t xml:space="preserve">-ых Ценных бумаг, которые должны поступить на Счет депо Клиента, учитываемых в рамках одного Портфеля в результате исполнения </w:t>
      </w:r>
      <w:r w:rsidR="00BE6FB5" w:rsidRPr="004A6E99">
        <w:rPr>
          <w:sz w:val="20"/>
          <w:szCs w:val="20"/>
        </w:rPr>
        <w:t>n</w:t>
      </w:r>
      <w:r w:rsidR="00BE6FB5" w:rsidRPr="004A6E99">
        <w:rPr>
          <w:sz w:val="20"/>
          <w:szCs w:val="20"/>
          <w:lang w:val="ru-RU"/>
        </w:rPr>
        <w:t>-го обязательства;</w:t>
      </w:r>
    </w:p>
    <w:p w:rsidR="00BE6FB5" w:rsidRPr="004A6E99" w:rsidRDefault="001E0FFB" w:rsidP="00BE6FB5">
      <w:pPr>
        <w:spacing w:before="120" w:after="120"/>
        <w:ind w:left="1000"/>
        <w:rPr>
          <w:sz w:val="20"/>
          <w:szCs w:val="20"/>
          <w:lang w:val="ru-RU"/>
        </w:rPr>
      </w:pPr>
      <m:oMath>
        <m:sSubSup>
          <m:sSubSupPr>
            <m:ctrlPr>
              <w:rPr>
                <w:rFonts w:ascii="Cambria Math" w:hAnsi="Cambria Math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L</m:t>
            </m:r>
          </m:sup>
        </m:sSubSup>
      </m:oMath>
      <w:r w:rsidR="00BE6FB5" w:rsidRPr="004A6E99">
        <w:rPr>
          <w:sz w:val="20"/>
          <w:szCs w:val="20"/>
          <w:lang w:val="ru-RU"/>
        </w:rPr>
        <w:t xml:space="preserve">– количество </w:t>
      </w:r>
      <w:r w:rsidR="00BE6FB5" w:rsidRPr="004A6E99">
        <w:rPr>
          <w:sz w:val="20"/>
          <w:szCs w:val="20"/>
        </w:rPr>
        <w:t>i</w:t>
      </w:r>
      <w:r w:rsidR="00BE6FB5" w:rsidRPr="004A6E99">
        <w:rPr>
          <w:sz w:val="20"/>
          <w:szCs w:val="20"/>
          <w:lang w:val="ru-RU"/>
        </w:rPr>
        <w:t>-ых Ценных бумаг (в штуках), являющихся предметом обязательств, которые должны быть исполнены со Сч</w:t>
      </w:r>
      <w:r w:rsidR="002A37DB" w:rsidRPr="004A6E99">
        <w:rPr>
          <w:sz w:val="20"/>
          <w:szCs w:val="20"/>
          <w:lang w:val="ru-RU"/>
        </w:rPr>
        <w:t>е</w:t>
      </w:r>
      <w:r w:rsidR="00BE6FB5" w:rsidRPr="004A6E99">
        <w:rPr>
          <w:sz w:val="20"/>
          <w:szCs w:val="20"/>
          <w:lang w:val="ru-RU"/>
        </w:rPr>
        <w:t>та депо Клиента, учитываемых в рамках одного Портфеля;</w:t>
      </w:r>
    </w:p>
    <w:p w:rsidR="00BE6FB5" w:rsidRPr="004A6E99" w:rsidRDefault="001E0FFB" w:rsidP="00BE6FB5">
      <w:pPr>
        <w:spacing w:before="120" w:after="120"/>
        <w:ind w:left="1000"/>
        <w:rPr>
          <w:sz w:val="20"/>
          <w:szCs w:val="20"/>
          <w:lang w:val="ru-RU"/>
        </w:rPr>
      </w:pPr>
      <m:oMath>
        <m:sSubSup>
          <m:sSubSupPr>
            <m:ctrlPr>
              <w:rPr>
                <w:rFonts w:ascii="Cambria Math" w:hAnsi="Cambria Math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L</m:t>
            </m:r>
          </m:sup>
        </m:sSubSup>
      </m:oMath>
      <w:r w:rsidR="00BE6FB5" w:rsidRPr="004A6E99">
        <w:rPr>
          <w:sz w:val="20"/>
          <w:szCs w:val="20"/>
          <w:lang w:val="ru-RU"/>
        </w:rPr>
        <w:t xml:space="preserve">– суммы вознаграждений и (или) возмещения (оплаты) расходов в </w:t>
      </w:r>
      <w:r w:rsidR="006D4C01" w:rsidRPr="004A6E99">
        <w:rPr>
          <w:sz w:val="20"/>
          <w:szCs w:val="20"/>
          <w:lang w:val="ru-RU"/>
        </w:rPr>
        <w:t xml:space="preserve">российских </w:t>
      </w:r>
      <w:r w:rsidR="00BE6FB5" w:rsidRPr="004A6E99">
        <w:rPr>
          <w:sz w:val="20"/>
          <w:szCs w:val="20"/>
          <w:lang w:val="ru-RU"/>
        </w:rPr>
        <w:t>рублях, на которые Банк вправе рассчитывать в соответствии с Регламентом;</w:t>
      </w:r>
    </w:p>
    <w:p w:rsidR="00BE6FB5" w:rsidRPr="004A6E99" w:rsidRDefault="001E0FFB" w:rsidP="00BE6FB5">
      <w:pPr>
        <w:spacing w:before="120" w:after="120"/>
        <w:ind w:left="1000"/>
        <w:rPr>
          <w:sz w:val="20"/>
          <w:szCs w:val="20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  <m:r>
              <w:rPr>
                <w:rFonts w:ascii="Cambria Math" w:hAnsi="Cambria Math"/>
                <w:sz w:val="20"/>
                <w:szCs w:val="20"/>
                <w:lang w:val="ru-RU"/>
              </w:rPr>
              <m:t>,</m:t>
            </m:r>
            <m:r>
              <w:rPr>
                <w:rFonts w:ascii="Cambria Math" w:hAnsi="Cambria Math"/>
                <w:sz w:val="20"/>
                <w:szCs w:val="20"/>
              </w:rPr>
              <m:t>j</m:t>
            </m:r>
          </m:sub>
        </m:sSub>
      </m:oMath>
      <w:r w:rsidR="00BE6FB5" w:rsidRPr="004A6E99">
        <w:rPr>
          <w:sz w:val="20"/>
          <w:szCs w:val="20"/>
          <w:lang w:val="ru-RU"/>
        </w:rPr>
        <w:t xml:space="preserve">– цена одной </w:t>
      </w:r>
      <w:r w:rsidR="00BE6FB5" w:rsidRPr="004A6E99">
        <w:rPr>
          <w:sz w:val="20"/>
          <w:szCs w:val="20"/>
        </w:rPr>
        <w:t>i</w:t>
      </w:r>
      <w:r w:rsidR="00BE6FB5" w:rsidRPr="004A6E99">
        <w:rPr>
          <w:sz w:val="20"/>
          <w:szCs w:val="20"/>
          <w:lang w:val="ru-RU"/>
        </w:rPr>
        <w:t xml:space="preserve">-ой ценной бумаги, выраженная в единицах </w:t>
      </w:r>
      <w:r w:rsidR="00BE6FB5" w:rsidRPr="004A6E99">
        <w:rPr>
          <w:sz w:val="20"/>
          <w:szCs w:val="20"/>
        </w:rPr>
        <w:t>j</w:t>
      </w:r>
      <w:r w:rsidR="00BE6FB5" w:rsidRPr="004A6E99">
        <w:rPr>
          <w:sz w:val="20"/>
          <w:szCs w:val="20"/>
          <w:lang w:val="ru-RU"/>
        </w:rPr>
        <w:t xml:space="preserve">-й валюты, рассчитанная по Цене закрытия на </w:t>
      </w:r>
      <w:r w:rsidR="006D4C01" w:rsidRPr="004A6E99">
        <w:rPr>
          <w:sz w:val="20"/>
          <w:szCs w:val="20"/>
          <w:lang w:val="ru-RU"/>
        </w:rPr>
        <w:t>Ф</w:t>
      </w:r>
      <w:r w:rsidR="00BE6FB5" w:rsidRPr="004A6E99">
        <w:rPr>
          <w:sz w:val="20"/>
          <w:szCs w:val="20"/>
          <w:lang w:val="ru-RU"/>
        </w:rPr>
        <w:t>ондовом рынке;</w:t>
      </w:r>
    </w:p>
    <w:p w:rsidR="00BE6FB5" w:rsidRPr="004A6E99" w:rsidRDefault="001E0FFB" w:rsidP="00BE6FB5">
      <w:pPr>
        <w:spacing w:before="120" w:after="120"/>
        <w:ind w:left="1000"/>
        <w:rPr>
          <w:sz w:val="20"/>
          <w:szCs w:val="20"/>
          <w:lang w:val="ru-RU"/>
        </w:rPr>
      </w:pP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FXRate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</m:oMath>
      <w:r w:rsidR="00BE6FB5" w:rsidRPr="004A6E99">
        <w:rPr>
          <w:sz w:val="20"/>
          <w:szCs w:val="20"/>
          <w:lang w:val="ru-RU"/>
        </w:rPr>
        <w:t xml:space="preserve">– Текущая цена </w:t>
      </w:r>
      <w:r w:rsidR="00BE6FB5" w:rsidRPr="004A6E99">
        <w:rPr>
          <w:sz w:val="20"/>
          <w:szCs w:val="20"/>
        </w:rPr>
        <w:t>i</w:t>
      </w:r>
      <w:r w:rsidR="00BE6FB5" w:rsidRPr="004A6E99">
        <w:rPr>
          <w:sz w:val="20"/>
          <w:szCs w:val="20"/>
          <w:lang w:val="ru-RU"/>
        </w:rPr>
        <w:t>-й иностранной валюты к российскому рублю, с расч</w:t>
      </w:r>
      <w:r w:rsidR="002A37DB" w:rsidRPr="004A6E99">
        <w:rPr>
          <w:sz w:val="20"/>
          <w:szCs w:val="20"/>
          <w:lang w:val="ru-RU"/>
        </w:rPr>
        <w:t>е</w:t>
      </w:r>
      <w:r w:rsidR="00BE6FB5" w:rsidRPr="004A6E99">
        <w:rPr>
          <w:sz w:val="20"/>
          <w:szCs w:val="20"/>
          <w:lang w:val="ru-RU"/>
        </w:rPr>
        <w:t>тами «</w:t>
      </w:r>
      <w:r w:rsidR="006D4C01" w:rsidRPr="004A6E99">
        <w:t>TOM</w:t>
      </w:r>
      <w:r w:rsidR="00BE6FB5" w:rsidRPr="004A6E99">
        <w:rPr>
          <w:sz w:val="20"/>
          <w:szCs w:val="20"/>
          <w:lang w:val="ru-RU"/>
        </w:rPr>
        <w:t xml:space="preserve">». Если </w:t>
      </w:r>
      <w:proofErr w:type="spellStart"/>
      <w:r w:rsidR="00BE6FB5" w:rsidRPr="004A6E99">
        <w:rPr>
          <w:sz w:val="20"/>
          <w:szCs w:val="20"/>
        </w:rPr>
        <w:t>i</w:t>
      </w:r>
      <w:proofErr w:type="spellEnd"/>
      <w:r w:rsidR="00BE6FB5" w:rsidRPr="004A6E99">
        <w:rPr>
          <w:sz w:val="20"/>
          <w:szCs w:val="20"/>
          <w:lang w:val="ru-RU"/>
        </w:rPr>
        <w:t xml:space="preserve">-й валютой является российский рубль, значение показателя </w:t>
      </w:r>
      <w:proofErr w:type="spellStart"/>
      <w:r w:rsidR="00BE6FB5" w:rsidRPr="004A6E99">
        <w:rPr>
          <w:sz w:val="20"/>
          <w:szCs w:val="20"/>
        </w:rPr>
        <w:t>FXRatei</w:t>
      </w:r>
      <w:proofErr w:type="spellEnd"/>
      <w:r w:rsidR="00BE6FB5" w:rsidRPr="004A6E99">
        <w:rPr>
          <w:sz w:val="20"/>
          <w:szCs w:val="20"/>
          <w:lang w:val="ru-RU"/>
        </w:rPr>
        <w:t xml:space="preserve"> принимается равным 1.</w:t>
      </w:r>
    </w:p>
    <w:p w:rsidR="00BE6FB5" w:rsidRPr="004A6E99" w:rsidRDefault="00BE6FB5" w:rsidP="00BE6FB5">
      <w:pPr>
        <w:pStyle w:val="a5"/>
        <w:numPr>
          <w:ilvl w:val="1"/>
          <w:numId w:val="1"/>
        </w:numPr>
        <w:spacing w:before="120" w:after="120"/>
        <w:rPr>
          <w:sz w:val="20"/>
          <w:szCs w:val="20"/>
          <w:lang w:val="ru-RU"/>
        </w:rPr>
      </w:pPr>
      <w:proofErr w:type="gramStart"/>
      <w:r w:rsidRPr="004A6E99">
        <w:rPr>
          <w:sz w:val="20"/>
          <w:szCs w:val="20"/>
          <w:lang w:val="ru-RU"/>
        </w:rPr>
        <w:t xml:space="preserve">Средства гарантийного обеспечения Клиента, чьи позиции учитываются в рамках Обособленного расчетного кода, на Фондовом рынке и Внебиржевом рынке, на которых заключаются договоры купли-продажи ценных бумаг, рассчитываются по методике </w:t>
      </w:r>
      <w:r w:rsidR="00D62AC6" w:rsidRPr="004A6E99">
        <w:rPr>
          <w:rFonts w:ascii="Tahoma" w:hAnsi="Tahoma" w:cs="Tahoma"/>
          <w:sz w:val="20"/>
          <w:szCs w:val="20"/>
          <w:lang w:val="ru-RU"/>
        </w:rPr>
        <w:t>НКО НКЦ (АО)</w:t>
      </w:r>
      <w:r w:rsidRPr="004A6E99">
        <w:rPr>
          <w:sz w:val="20"/>
          <w:szCs w:val="20"/>
          <w:lang w:val="ru-RU"/>
        </w:rPr>
        <w:t>.</w:t>
      </w:r>
      <w:proofErr w:type="gramEnd"/>
    </w:p>
    <w:p w:rsidR="00BE6FB5" w:rsidRPr="004A6E99" w:rsidRDefault="00BE6FB5" w:rsidP="00BE6FB5">
      <w:pPr>
        <w:pStyle w:val="a5"/>
        <w:numPr>
          <w:ilvl w:val="0"/>
          <w:numId w:val="1"/>
        </w:numPr>
        <w:spacing w:before="120" w:after="120"/>
        <w:rPr>
          <w:b/>
          <w:sz w:val="20"/>
          <w:szCs w:val="20"/>
          <w:lang w:val="ru-RU"/>
        </w:rPr>
      </w:pPr>
      <w:proofErr w:type="spellStart"/>
      <w:r w:rsidRPr="004A6E99">
        <w:rPr>
          <w:b/>
          <w:sz w:val="20"/>
          <w:szCs w:val="20"/>
        </w:rPr>
        <w:t>Расч</w:t>
      </w:r>
      <w:proofErr w:type="spellEnd"/>
      <w:r w:rsidRPr="004A6E99">
        <w:rPr>
          <w:b/>
          <w:sz w:val="20"/>
          <w:szCs w:val="20"/>
          <w:lang w:val="ru-RU"/>
        </w:rPr>
        <w:t>е</w:t>
      </w:r>
      <w:r w:rsidRPr="004A6E99">
        <w:rPr>
          <w:b/>
          <w:sz w:val="20"/>
          <w:szCs w:val="20"/>
        </w:rPr>
        <w:t xml:space="preserve">т </w:t>
      </w:r>
      <w:proofErr w:type="spellStart"/>
      <w:r w:rsidRPr="004A6E99">
        <w:rPr>
          <w:b/>
          <w:sz w:val="20"/>
          <w:szCs w:val="20"/>
        </w:rPr>
        <w:t>величины</w:t>
      </w:r>
      <w:proofErr w:type="spellEnd"/>
      <w:r w:rsidRPr="004A6E99">
        <w:rPr>
          <w:b/>
          <w:sz w:val="20"/>
          <w:szCs w:val="20"/>
        </w:rPr>
        <w:t xml:space="preserve"> </w:t>
      </w:r>
      <w:proofErr w:type="spellStart"/>
      <w:r w:rsidRPr="004A6E99">
        <w:rPr>
          <w:b/>
          <w:sz w:val="20"/>
          <w:szCs w:val="20"/>
        </w:rPr>
        <w:t>Гарантийного</w:t>
      </w:r>
      <w:proofErr w:type="spellEnd"/>
      <w:r w:rsidRPr="004A6E99">
        <w:rPr>
          <w:b/>
          <w:sz w:val="20"/>
          <w:szCs w:val="20"/>
        </w:rPr>
        <w:t xml:space="preserve"> </w:t>
      </w:r>
      <w:proofErr w:type="spellStart"/>
      <w:r w:rsidRPr="004A6E99">
        <w:rPr>
          <w:b/>
          <w:sz w:val="20"/>
          <w:szCs w:val="20"/>
        </w:rPr>
        <w:t>обеспечения</w:t>
      </w:r>
      <w:proofErr w:type="spellEnd"/>
      <w:r w:rsidRPr="004A6E99">
        <w:rPr>
          <w:b/>
          <w:sz w:val="20"/>
          <w:szCs w:val="20"/>
        </w:rPr>
        <w:t>.</w:t>
      </w:r>
    </w:p>
    <w:p w:rsidR="00AC2A77" w:rsidRPr="004A6E99" w:rsidRDefault="00074D1B" w:rsidP="00BE6FB5">
      <w:pPr>
        <w:pStyle w:val="a5"/>
        <w:numPr>
          <w:ilvl w:val="1"/>
          <w:numId w:val="1"/>
        </w:numPr>
        <w:spacing w:before="120" w:after="120"/>
        <w:rPr>
          <w:sz w:val="20"/>
          <w:szCs w:val="20"/>
          <w:lang w:val="ru-RU"/>
        </w:rPr>
      </w:pPr>
      <w:r w:rsidRPr="004A6E99">
        <w:rPr>
          <w:sz w:val="20"/>
          <w:szCs w:val="20"/>
          <w:lang w:val="ru-RU"/>
        </w:rPr>
        <w:t xml:space="preserve">Величина Гарантийного обеспечения на Срочном рынке ПАО Московская биржа </w:t>
      </w:r>
      <w:r w:rsidR="00AC2A77" w:rsidRPr="004A6E99">
        <w:rPr>
          <w:sz w:val="20"/>
          <w:szCs w:val="20"/>
          <w:lang w:val="ru-RU"/>
        </w:rPr>
        <w:t xml:space="preserve">рассчитывается Банком с использованием методологии </w:t>
      </w:r>
      <w:r w:rsidR="00D62AC6" w:rsidRPr="004A6E99">
        <w:rPr>
          <w:rFonts w:ascii="Tahoma" w:hAnsi="Tahoma" w:cs="Tahoma"/>
          <w:sz w:val="20"/>
          <w:szCs w:val="20"/>
          <w:lang w:val="ru-RU"/>
        </w:rPr>
        <w:t>НКО НКЦ (АО)</w:t>
      </w:r>
      <w:r w:rsidR="00AC2A77" w:rsidRPr="004A6E99">
        <w:rPr>
          <w:sz w:val="20"/>
          <w:szCs w:val="20"/>
          <w:lang w:val="ru-RU"/>
        </w:rPr>
        <w:t xml:space="preserve">. Банк вправе по соглашению с Клиентом рассчитывать величину Гарантийного обеспечения </w:t>
      </w:r>
      <w:r w:rsidR="007F1236" w:rsidRPr="004A6E99">
        <w:rPr>
          <w:sz w:val="20"/>
          <w:szCs w:val="20"/>
          <w:lang w:val="ru-RU"/>
        </w:rPr>
        <w:t>н</w:t>
      </w:r>
      <w:r w:rsidR="007609E2" w:rsidRPr="004A6E99">
        <w:rPr>
          <w:sz w:val="20"/>
          <w:szCs w:val="20"/>
          <w:lang w:val="ru-RU"/>
        </w:rPr>
        <w:t xml:space="preserve">а Срочном рынке ПАО Московская биржа </w:t>
      </w:r>
      <w:r w:rsidR="00AC2A77" w:rsidRPr="004A6E99">
        <w:rPr>
          <w:sz w:val="20"/>
          <w:szCs w:val="20"/>
          <w:lang w:val="ru-RU"/>
        </w:rPr>
        <w:t xml:space="preserve">в соответствии с методологией Банка и (или) в соответствии с указанным соглашением с Клиентом. </w:t>
      </w:r>
    </w:p>
    <w:p w:rsidR="00AC2A77" w:rsidRPr="004A6E99" w:rsidRDefault="00AC2A77" w:rsidP="00BE6FB5">
      <w:pPr>
        <w:pStyle w:val="a5"/>
        <w:numPr>
          <w:ilvl w:val="1"/>
          <w:numId w:val="1"/>
        </w:numPr>
        <w:spacing w:before="120" w:after="120"/>
        <w:rPr>
          <w:sz w:val="20"/>
          <w:szCs w:val="20"/>
          <w:lang w:val="ru-RU"/>
        </w:rPr>
      </w:pPr>
      <w:r w:rsidRPr="004A6E99">
        <w:rPr>
          <w:sz w:val="20"/>
          <w:szCs w:val="20"/>
          <w:lang w:val="ru-RU"/>
        </w:rPr>
        <w:t xml:space="preserve">Величина Гарантийного обеспечения на Срочном рынке иностранных государств рассчитывается посредством модуля программного обеспечения ИТС «CQG». Банк вправе по соглашению с Клиентом рассчитывать величину Гарантийного обеспечения </w:t>
      </w:r>
      <w:r w:rsidR="007609E2" w:rsidRPr="004A6E99">
        <w:rPr>
          <w:sz w:val="20"/>
          <w:szCs w:val="20"/>
          <w:lang w:val="ru-RU"/>
        </w:rPr>
        <w:t>на Срочном рынке иностранных госуда</w:t>
      </w:r>
      <w:proofErr w:type="gramStart"/>
      <w:r w:rsidR="007609E2" w:rsidRPr="004A6E99">
        <w:rPr>
          <w:sz w:val="20"/>
          <w:szCs w:val="20"/>
          <w:lang w:val="ru-RU"/>
        </w:rPr>
        <w:t xml:space="preserve">рств </w:t>
      </w:r>
      <w:r w:rsidRPr="004A6E99">
        <w:rPr>
          <w:sz w:val="20"/>
          <w:szCs w:val="20"/>
          <w:lang w:val="ru-RU"/>
        </w:rPr>
        <w:t>в с</w:t>
      </w:r>
      <w:proofErr w:type="gramEnd"/>
      <w:r w:rsidRPr="004A6E99">
        <w:rPr>
          <w:sz w:val="20"/>
          <w:szCs w:val="20"/>
          <w:lang w:val="ru-RU"/>
        </w:rPr>
        <w:t>оответствии с методологией Банка и (или) в соответствии с указанным соглашением с Клиентом.</w:t>
      </w:r>
    </w:p>
    <w:p w:rsidR="00AC2A77" w:rsidRPr="004A6E99" w:rsidRDefault="00AC2A77" w:rsidP="00AC2A77">
      <w:pPr>
        <w:pStyle w:val="a5"/>
        <w:numPr>
          <w:ilvl w:val="1"/>
          <w:numId w:val="1"/>
        </w:numPr>
        <w:spacing w:before="120" w:after="120"/>
        <w:rPr>
          <w:sz w:val="20"/>
          <w:szCs w:val="20"/>
          <w:lang w:val="ru-RU"/>
        </w:rPr>
      </w:pPr>
      <w:r w:rsidRPr="004A6E99">
        <w:rPr>
          <w:sz w:val="20"/>
          <w:szCs w:val="20"/>
          <w:lang w:val="ru-RU"/>
        </w:rPr>
        <w:t xml:space="preserve">Величина Гарантийного обеспечения на Фондовом рынке и на Валютном рынке в отношении Клиентов, чьи позиции учитываются в рамках Обособленного расчетного кода или обособленного ТКС, рассчитывается Банком с использованием методологии </w:t>
      </w:r>
      <w:r w:rsidR="00D62AC6" w:rsidRPr="004A6E99">
        <w:rPr>
          <w:rFonts w:ascii="Tahoma" w:hAnsi="Tahoma" w:cs="Tahoma"/>
          <w:sz w:val="20"/>
          <w:szCs w:val="20"/>
          <w:lang w:val="ru-RU"/>
        </w:rPr>
        <w:t>НКО НКЦ (АО)</w:t>
      </w:r>
      <w:r w:rsidR="00D63DCC">
        <w:rPr>
          <w:rFonts w:ascii="Tahoma" w:hAnsi="Tahoma" w:cs="Tahoma"/>
          <w:sz w:val="20"/>
          <w:szCs w:val="20"/>
          <w:lang w:val="ru-RU"/>
        </w:rPr>
        <w:t xml:space="preserve"> </w:t>
      </w:r>
      <w:r w:rsidR="00522E8E" w:rsidRPr="004A6E99">
        <w:rPr>
          <w:sz w:val="20"/>
          <w:szCs w:val="20"/>
          <w:lang w:val="ru-RU"/>
        </w:rPr>
        <w:t xml:space="preserve">и/или АО </w:t>
      </w:r>
      <w:r w:rsidR="00A1305E">
        <w:rPr>
          <w:sz w:val="20"/>
          <w:szCs w:val="20"/>
          <w:lang w:val="ru-RU"/>
        </w:rPr>
        <w:t>НКО-ЦК «СПБ Клиринг» (АО)</w:t>
      </w:r>
      <w:r w:rsidR="00652116" w:rsidRPr="004A6E99">
        <w:rPr>
          <w:sz w:val="20"/>
          <w:szCs w:val="20"/>
          <w:lang w:val="ru-RU"/>
        </w:rPr>
        <w:t xml:space="preserve"> (при расчете Гарантийного обеспечения на Фондовом рынке ПАО СПБ</w:t>
      </w:r>
      <w:r w:rsidR="00D63DCC">
        <w:rPr>
          <w:sz w:val="20"/>
          <w:szCs w:val="20"/>
          <w:lang w:val="ru-RU"/>
        </w:rPr>
        <w:t xml:space="preserve"> Биржа</w:t>
      </w:r>
      <w:r w:rsidR="00652116" w:rsidRPr="004A6E99">
        <w:rPr>
          <w:sz w:val="20"/>
          <w:szCs w:val="20"/>
          <w:lang w:val="ru-RU"/>
        </w:rPr>
        <w:t>)</w:t>
      </w:r>
      <w:r w:rsidRPr="004A6E99">
        <w:rPr>
          <w:sz w:val="20"/>
          <w:szCs w:val="20"/>
          <w:lang w:val="ru-RU"/>
        </w:rPr>
        <w:t xml:space="preserve">. </w:t>
      </w:r>
    </w:p>
    <w:p w:rsidR="00AC2A77" w:rsidRPr="004A6E99" w:rsidRDefault="00AC2A77" w:rsidP="00AC2A77">
      <w:pPr>
        <w:pStyle w:val="a5"/>
        <w:spacing w:before="120" w:after="120"/>
        <w:ind w:firstLine="16"/>
        <w:rPr>
          <w:sz w:val="20"/>
          <w:szCs w:val="20"/>
          <w:lang w:val="ru-RU"/>
        </w:rPr>
      </w:pPr>
      <w:r w:rsidRPr="004A6E99">
        <w:rPr>
          <w:sz w:val="20"/>
          <w:szCs w:val="20"/>
          <w:lang w:val="ru-RU"/>
        </w:rPr>
        <w:lastRenderedPageBreak/>
        <w:t>Величина Гарантийного обеспечения на Фондовом рынке и на Валютном рынке в отношении Клиентов, чьи позиции не учитываются в рамках Обособленного расчетного кода или обособленного ТКС, рассчитывается посредством ИТС «</w:t>
      </w:r>
      <w:proofErr w:type="spellStart"/>
      <w:r w:rsidRPr="004A6E99">
        <w:rPr>
          <w:sz w:val="20"/>
          <w:szCs w:val="20"/>
        </w:rPr>
        <w:t>Quik</w:t>
      </w:r>
      <w:proofErr w:type="spellEnd"/>
      <w:r w:rsidRPr="004A6E99">
        <w:rPr>
          <w:sz w:val="20"/>
          <w:szCs w:val="20"/>
          <w:lang w:val="ru-RU"/>
        </w:rPr>
        <w:t>».</w:t>
      </w:r>
    </w:p>
    <w:p w:rsidR="00AC2A77" w:rsidRPr="004A6E99" w:rsidRDefault="00AC2A77" w:rsidP="00AC2A77">
      <w:pPr>
        <w:spacing w:before="120" w:after="120"/>
        <w:ind w:left="1118" w:firstLine="16"/>
        <w:jc w:val="both"/>
        <w:rPr>
          <w:sz w:val="20"/>
          <w:szCs w:val="20"/>
          <w:lang w:val="ru-RU"/>
        </w:rPr>
      </w:pPr>
      <w:r w:rsidRPr="004A6E99">
        <w:rPr>
          <w:sz w:val="20"/>
          <w:szCs w:val="20"/>
          <w:lang w:val="ru-RU"/>
        </w:rPr>
        <w:t xml:space="preserve">Банк вправе по соглашению с Клиентом рассчитывать величину Гарантийного обеспечения </w:t>
      </w:r>
      <w:r w:rsidR="007609E2" w:rsidRPr="004A6E99">
        <w:rPr>
          <w:sz w:val="20"/>
          <w:szCs w:val="20"/>
          <w:lang w:val="ru-RU"/>
        </w:rPr>
        <w:t xml:space="preserve">на Фондовом рынке и на Валютном рынке </w:t>
      </w:r>
      <w:r w:rsidRPr="004A6E99">
        <w:rPr>
          <w:sz w:val="20"/>
          <w:szCs w:val="20"/>
          <w:lang w:val="ru-RU"/>
        </w:rPr>
        <w:t>в соответствии с методологией Банка и (или) в соответствии с указанным соглашением с Клиентом</w:t>
      </w:r>
      <w:r w:rsidR="007609E2" w:rsidRPr="004A6E99">
        <w:rPr>
          <w:sz w:val="20"/>
          <w:szCs w:val="20"/>
          <w:lang w:val="ru-RU"/>
        </w:rPr>
        <w:t>.</w:t>
      </w:r>
    </w:p>
    <w:p w:rsidR="007609E2" w:rsidRPr="004A6E99" w:rsidRDefault="007609E2" w:rsidP="00C45394">
      <w:pPr>
        <w:pStyle w:val="a5"/>
        <w:numPr>
          <w:ilvl w:val="1"/>
          <w:numId w:val="1"/>
        </w:numPr>
        <w:spacing w:before="120" w:after="120"/>
        <w:rPr>
          <w:sz w:val="20"/>
          <w:szCs w:val="20"/>
          <w:lang w:val="ru-RU"/>
        </w:rPr>
      </w:pPr>
      <w:r w:rsidRPr="004A6E99">
        <w:rPr>
          <w:sz w:val="20"/>
          <w:szCs w:val="20"/>
          <w:lang w:val="ru-RU"/>
        </w:rPr>
        <w:t>Величина Гарантийного обеспечения на Рынке EBS рассчитывается посредством ИТС «</w:t>
      </w:r>
      <w:proofErr w:type="spellStart"/>
      <w:r w:rsidRPr="004A6E99">
        <w:rPr>
          <w:sz w:val="20"/>
          <w:szCs w:val="20"/>
          <w:lang w:val="ru-RU"/>
        </w:rPr>
        <w:t>Quik</w:t>
      </w:r>
      <w:proofErr w:type="spellEnd"/>
      <w:r w:rsidRPr="004A6E99">
        <w:rPr>
          <w:sz w:val="20"/>
          <w:szCs w:val="20"/>
          <w:lang w:val="ru-RU"/>
        </w:rPr>
        <w:t>».</w:t>
      </w:r>
      <w:r w:rsidR="00C45394" w:rsidRPr="004A6E99">
        <w:rPr>
          <w:sz w:val="20"/>
          <w:szCs w:val="20"/>
          <w:lang w:val="ru-RU"/>
        </w:rPr>
        <w:t xml:space="preserve"> Банк вправе по соглашению с Клиентом рассчитывать величину Гарантийного обеспечения на Рынке EBS в соответствии с методологией Банка и (или) в соответствии с указанным соглашением с Клиентом.</w:t>
      </w:r>
    </w:p>
    <w:p w:rsidR="001E2401" w:rsidRPr="004A6E99" w:rsidRDefault="007609E2" w:rsidP="00AB289A">
      <w:pPr>
        <w:pStyle w:val="a5"/>
        <w:spacing w:before="120" w:after="120"/>
        <w:ind w:firstLine="16"/>
        <w:rPr>
          <w:sz w:val="20"/>
          <w:szCs w:val="20"/>
          <w:lang w:val="ru-RU"/>
        </w:rPr>
      </w:pPr>
      <w:r w:rsidRPr="004A6E99">
        <w:rPr>
          <w:sz w:val="20"/>
          <w:szCs w:val="20"/>
          <w:lang w:val="ru-RU"/>
        </w:rPr>
        <w:t xml:space="preserve">Величина Гарантийного обеспечения на Внебиржевом рынке, за исключением </w:t>
      </w:r>
      <w:r w:rsidR="00FE24FB" w:rsidRPr="004A6E99">
        <w:rPr>
          <w:sz w:val="20"/>
          <w:szCs w:val="20"/>
          <w:lang w:val="ru-RU"/>
        </w:rPr>
        <w:t>Рынк</w:t>
      </w:r>
      <w:r w:rsidRPr="004A6E99">
        <w:rPr>
          <w:sz w:val="20"/>
          <w:szCs w:val="20"/>
          <w:lang w:val="ru-RU"/>
        </w:rPr>
        <w:t xml:space="preserve">а EBS, равна размеру имущества, </w:t>
      </w:r>
      <w:r w:rsidR="00E75728" w:rsidRPr="004A6E99">
        <w:rPr>
          <w:sz w:val="20"/>
          <w:szCs w:val="20"/>
          <w:lang w:val="ru-RU"/>
        </w:rPr>
        <w:t>требуемого</w:t>
      </w:r>
      <w:r w:rsidR="00FE24FB" w:rsidRPr="004A6E99">
        <w:rPr>
          <w:sz w:val="20"/>
          <w:szCs w:val="20"/>
          <w:lang w:val="ru-RU"/>
        </w:rPr>
        <w:t xml:space="preserve"> в зависимости от </w:t>
      </w:r>
      <w:r w:rsidR="00C45394" w:rsidRPr="004A6E99">
        <w:rPr>
          <w:sz w:val="20"/>
          <w:szCs w:val="20"/>
          <w:lang w:val="ru-RU"/>
        </w:rPr>
        <w:t xml:space="preserve">направления позиции Клиента </w:t>
      </w:r>
      <w:r w:rsidR="00FE24FB" w:rsidRPr="004A6E99">
        <w:rPr>
          <w:sz w:val="20"/>
          <w:szCs w:val="20"/>
          <w:lang w:val="ru-RU"/>
        </w:rPr>
        <w:t>для исполнения обязательств по Договорам, заключенным</w:t>
      </w:r>
      <w:r w:rsidR="00E75728" w:rsidRPr="004A6E99">
        <w:rPr>
          <w:sz w:val="20"/>
          <w:szCs w:val="20"/>
          <w:lang w:val="ru-RU"/>
        </w:rPr>
        <w:t xml:space="preserve"> на Внебиржевом рынке. </w:t>
      </w:r>
    </w:p>
    <w:p w:rsidR="00BE6FB5" w:rsidRPr="004A6E99" w:rsidRDefault="00BE6FB5" w:rsidP="00BE6FB5">
      <w:pPr>
        <w:pStyle w:val="a5"/>
        <w:numPr>
          <w:ilvl w:val="0"/>
          <w:numId w:val="1"/>
        </w:numPr>
        <w:spacing w:before="120" w:after="120"/>
        <w:rPr>
          <w:b/>
          <w:sz w:val="20"/>
          <w:szCs w:val="20"/>
          <w:lang w:val="ru-RU"/>
        </w:rPr>
      </w:pPr>
      <w:r w:rsidRPr="004A6E99">
        <w:rPr>
          <w:b/>
          <w:sz w:val="20"/>
          <w:szCs w:val="20"/>
          <w:lang w:val="ru-RU"/>
        </w:rPr>
        <w:t>Расчет Единого и Торгового лимитов на Валютном рынке и Единого лимита и Фондовом рынке для Клиентов, чьи позиции учитыва</w:t>
      </w:r>
      <w:r w:rsidR="00457FBD" w:rsidRPr="004A6E99">
        <w:rPr>
          <w:b/>
          <w:sz w:val="20"/>
          <w:szCs w:val="20"/>
          <w:lang w:val="ru-RU"/>
        </w:rPr>
        <w:t>ются в рамках Обособленных расче</w:t>
      </w:r>
      <w:r w:rsidRPr="004A6E99">
        <w:rPr>
          <w:b/>
          <w:sz w:val="20"/>
          <w:szCs w:val="20"/>
          <w:lang w:val="ru-RU"/>
        </w:rPr>
        <w:t>тных кодов.</w:t>
      </w:r>
    </w:p>
    <w:p w:rsidR="00BE6FB5" w:rsidRPr="004A6E99" w:rsidRDefault="00BE6FB5" w:rsidP="00BE6FB5">
      <w:pPr>
        <w:pStyle w:val="a5"/>
        <w:numPr>
          <w:ilvl w:val="1"/>
          <w:numId w:val="1"/>
        </w:numPr>
        <w:spacing w:before="120" w:after="120"/>
        <w:rPr>
          <w:b/>
          <w:sz w:val="20"/>
          <w:szCs w:val="20"/>
          <w:lang w:val="ru-RU"/>
        </w:rPr>
      </w:pPr>
      <w:r w:rsidRPr="004A6E99">
        <w:rPr>
          <w:sz w:val="20"/>
          <w:szCs w:val="20"/>
          <w:lang w:val="ru-RU"/>
        </w:rPr>
        <w:t xml:space="preserve">Единый лимит на Валютном и Фондовом </w:t>
      </w:r>
      <w:proofErr w:type="gramStart"/>
      <w:r w:rsidRPr="004A6E99">
        <w:rPr>
          <w:sz w:val="20"/>
          <w:szCs w:val="20"/>
          <w:lang w:val="ru-RU"/>
        </w:rPr>
        <w:t>рынках</w:t>
      </w:r>
      <w:proofErr w:type="gramEnd"/>
      <w:r w:rsidRPr="004A6E99">
        <w:rPr>
          <w:sz w:val="20"/>
          <w:szCs w:val="20"/>
          <w:lang w:val="ru-RU"/>
        </w:rPr>
        <w:t xml:space="preserve"> для Клиентов, использующих Обособленные расч</w:t>
      </w:r>
      <w:r w:rsidR="002A37DB" w:rsidRPr="004A6E99">
        <w:rPr>
          <w:sz w:val="20"/>
          <w:szCs w:val="20"/>
          <w:lang w:val="ru-RU"/>
        </w:rPr>
        <w:t>е</w:t>
      </w:r>
      <w:r w:rsidRPr="004A6E99">
        <w:rPr>
          <w:sz w:val="20"/>
          <w:szCs w:val="20"/>
          <w:lang w:val="ru-RU"/>
        </w:rPr>
        <w:t xml:space="preserve">тные коды, рассчитывается Банком по методике </w:t>
      </w:r>
      <w:r w:rsidR="00D62AC6" w:rsidRPr="004A6E99">
        <w:rPr>
          <w:rFonts w:ascii="Tahoma" w:hAnsi="Tahoma" w:cs="Tahoma"/>
          <w:sz w:val="20"/>
          <w:szCs w:val="20"/>
          <w:lang w:val="ru-RU"/>
        </w:rPr>
        <w:t>НКО НКЦ (АО)</w:t>
      </w:r>
      <w:r w:rsidRPr="004A6E99">
        <w:rPr>
          <w:sz w:val="20"/>
          <w:szCs w:val="20"/>
          <w:lang w:val="ru-RU"/>
        </w:rPr>
        <w:t>.</w:t>
      </w:r>
    </w:p>
    <w:p w:rsidR="00BE6FB5" w:rsidRPr="004A6E99" w:rsidRDefault="00BE6FB5" w:rsidP="00BE6FB5">
      <w:pPr>
        <w:pStyle w:val="a5"/>
        <w:numPr>
          <w:ilvl w:val="1"/>
          <w:numId w:val="1"/>
        </w:numPr>
        <w:spacing w:before="120" w:after="120"/>
        <w:rPr>
          <w:b/>
          <w:sz w:val="20"/>
          <w:szCs w:val="20"/>
          <w:lang w:val="ru-RU"/>
        </w:rPr>
      </w:pPr>
      <w:r w:rsidRPr="004A6E99">
        <w:rPr>
          <w:sz w:val="20"/>
          <w:szCs w:val="20"/>
          <w:lang w:val="ru-RU"/>
        </w:rPr>
        <w:t xml:space="preserve">Торговый лимит на Валютном и Фондовом </w:t>
      </w:r>
      <w:proofErr w:type="gramStart"/>
      <w:r w:rsidRPr="004A6E99">
        <w:rPr>
          <w:sz w:val="20"/>
          <w:szCs w:val="20"/>
          <w:lang w:val="ru-RU"/>
        </w:rPr>
        <w:t>рынках</w:t>
      </w:r>
      <w:proofErr w:type="gramEnd"/>
      <w:r w:rsidRPr="004A6E99">
        <w:rPr>
          <w:sz w:val="20"/>
          <w:szCs w:val="20"/>
          <w:lang w:val="ru-RU"/>
        </w:rPr>
        <w:t xml:space="preserve"> для Клиентов, использующих Обособленные расч</w:t>
      </w:r>
      <w:r w:rsidR="002A37DB" w:rsidRPr="004A6E99">
        <w:rPr>
          <w:sz w:val="20"/>
          <w:szCs w:val="20"/>
          <w:lang w:val="ru-RU"/>
        </w:rPr>
        <w:t>е</w:t>
      </w:r>
      <w:r w:rsidRPr="004A6E99">
        <w:rPr>
          <w:sz w:val="20"/>
          <w:szCs w:val="20"/>
          <w:lang w:val="ru-RU"/>
        </w:rPr>
        <w:t xml:space="preserve">тные коды, рассчитывается Банком по методике </w:t>
      </w:r>
      <w:r w:rsidR="00D62AC6" w:rsidRPr="004A6E99">
        <w:rPr>
          <w:rFonts w:ascii="Tahoma" w:hAnsi="Tahoma" w:cs="Tahoma"/>
          <w:sz w:val="20"/>
          <w:szCs w:val="20"/>
          <w:lang w:val="ru-RU"/>
        </w:rPr>
        <w:t>НКО НКЦ (АО)</w:t>
      </w:r>
      <w:r w:rsidRPr="004A6E99">
        <w:rPr>
          <w:sz w:val="20"/>
          <w:szCs w:val="20"/>
          <w:lang w:val="ru-RU"/>
        </w:rPr>
        <w:t>.</w:t>
      </w:r>
    </w:p>
    <w:p w:rsidR="00BE6FB5" w:rsidRPr="004A6E99" w:rsidRDefault="00BE6FB5" w:rsidP="00BE6FB5">
      <w:pPr>
        <w:pStyle w:val="a5"/>
        <w:numPr>
          <w:ilvl w:val="0"/>
          <w:numId w:val="1"/>
        </w:numPr>
        <w:spacing w:before="120" w:after="120"/>
        <w:rPr>
          <w:b/>
          <w:sz w:val="20"/>
          <w:szCs w:val="20"/>
          <w:lang w:val="ru-RU"/>
        </w:rPr>
      </w:pPr>
      <w:r w:rsidRPr="004A6E99">
        <w:rPr>
          <w:b/>
          <w:sz w:val="20"/>
          <w:szCs w:val="20"/>
          <w:lang w:val="ru-RU"/>
        </w:rPr>
        <w:t>Расчет Задолженности на Валютном, Фондовом и Внебиржевом рынках для Клиентов, не</w:t>
      </w:r>
      <w:r w:rsidR="00457FBD" w:rsidRPr="004A6E99">
        <w:rPr>
          <w:b/>
          <w:sz w:val="20"/>
          <w:szCs w:val="20"/>
          <w:lang w:val="ru-RU"/>
        </w:rPr>
        <w:t xml:space="preserve"> использующих Обособленный расче</w:t>
      </w:r>
      <w:r w:rsidRPr="004A6E99">
        <w:rPr>
          <w:b/>
          <w:sz w:val="20"/>
          <w:szCs w:val="20"/>
          <w:lang w:val="ru-RU"/>
        </w:rPr>
        <w:t>тный код.</w:t>
      </w:r>
    </w:p>
    <w:p w:rsidR="00BE6FB5" w:rsidRPr="004A6E99" w:rsidRDefault="00BE6FB5" w:rsidP="00AB289A">
      <w:pPr>
        <w:pStyle w:val="a5"/>
        <w:numPr>
          <w:ilvl w:val="1"/>
          <w:numId w:val="1"/>
        </w:numPr>
        <w:spacing w:before="0"/>
        <w:rPr>
          <w:sz w:val="20"/>
          <w:szCs w:val="20"/>
          <w:lang w:val="ru-RU"/>
        </w:rPr>
      </w:pPr>
      <w:r w:rsidRPr="004A6E99">
        <w:rPr>
          <w:sz w:val="20"/>
          <w:szCs w:val="20"/>
          <w:lang w:val="ru-RU"/>
        </w:rPr>
        <w:t>Задолженность рассчитывается по формуле:</w:t>
      </w:r>
    </w:p>
    <w:p w:rsidR="00457FBD" w:rsidRPr="004A6E99" w:rsidRDefault="00457FBD" w:rsidP="00457FBD">
      <w:pPr>
        <w:spacing w:before="120" w:after="120"/>
        <w:ind w:left="686"/>
        <w:jc w:val="center"/>
        <w:rPr>
          <w:i/>
          <w:sz w:val="20"/>
          <w:szCs w:val="20"/>
          <w:lang w:val="ru-RU"/>
        </w:rPr>
      </w:pPr>
      <m:oMath>
        <m:r>
          <w:rPr>
            <w:rFonts w:ascii="Cambria Math" w:hAnsi="Cambria Math"/>
            <w:sz w:val="20"/>
            <w:szCs w:val="20"/>
            <w:lang w:val="ru-RU"/>
          </w:rPr>
          <m:t>Задолженность=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RUB</m:t>
            </m:r>
            <m:r>
              <w:rPr>
                <w:rFonts w:ascii="Cambria Math" w:hAnsi="Cambria Math"/>
                <w:sz w:val="20"/>
                <w:szCs w:val="20"/>
                <w:lang w:val="ru-RU"/>
              </w:rPr>
              <m:t xml:space="preserve">+ 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0"/>
                    <w:szCs w:val="20"/>
                    <w:lang w:val="ru-RU"/>
                  </w:rPr>
                  <m:t>(</m:t>
                </m:r>
              </m:e>
            </m:nary>
            <m:r>
              <w:rPr>
                <w:rFonts w:ascii="Cambria Math" w:hAnsi="Cambria Math"/>
                <w:sz w:val="20"/>
                <w:szCs w:val="20"/>
                <w:lang w:val="ru-RU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ru-RU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CrossrateRU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TOM</m:t>
                    </m:r>
                  </m:sub>
                </m:sSub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ru-RU"/>
              </w:rPr>
              <m:t>)</m:t>
            </m:r>
          </m:e>
        </m:d>
      </m:oMath>
      <w:r w:rsidRPr="004A6E99">
        <w:rPr>
          <w:i/>
          <w:sz w:val="20"/>
          <w:szCs w:val="20"/>
          <w:lang w:val="ru-RU"/>
        </w:rPr>
        <w:t>,</w:t>
      </w:r>
    </w:p>
    <w:p w:rsidR="00457FBD" w:rsidRPr="004A6E99" w:rsidRDefault="00A41B74" w:rsidP="00457FBD">
      <w:pPr>
        <w:spacing w:before="120" w:after="120"/>
        <w:ind w:left="686"/>
        <w:rPr>
          <w:sz w:val="20"/>
          <w:szCs w:val="20"/>
          <w:lang w:val="ru-RU"/>
        </w:rPr>
      </w:pPr>
      <w:r w:rsidRPr="004A6E99">
        <w:rPr>
          <w:sz w:val="20"/>
          <w:szCs w:val="20"/>
          <w:lang w:val="ru-RU"/>
        </w:rPr>
        <w:t>где:</w:t>
      </w:r>
    </w:p>
    <w:p w:rsidR="00457FBD" w:rsidRPr="004A6E99" w:rsidRDefault="00457FBD" w:rsidP="00457FBD">
      <w:pPr>
        <w:spacing w:before="120" w:after="120"/>
        <w:ind w:left="686"/>
        <w:rPr>
          <w:sz w:val="20"/>
          <w:szCs w:val="20"/>
          <w:lang w:val="ru-RU"/>
        </w:rPr>
      </w:pP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RUB</m:t>
        </m:r>
      </m:oMath>
      <w:r w:rsidRPr="004A6E99">
        <w:rPr>
          <w:sz w:val="20"/>
          <w:szCs w:val="20"/>
          <w:lang w:val="ru-RU"/>
        </w:rPr>
        <w:t xml:space="preserve"> – Сумма обязательств в российских рублях.</w:t>
      </w:r>
    </w:p>
    <w:p w:rsidR="00457FBD" w:rsidRPr="004A6E99" w:rsidRDefault="001E0FFB" w:rsidP="00457FBD">
      <w:pPr>
        <w:spacing w:before="120" w:after="120"/>
        <w:ind w:left="686"/>
        <w:rPr>
          <w:sz w:val="20"/>
          <w:szCs w:val="20"/>
          <w:lang w:val="ru-RU"/>
        </w:rPr>
      </w:pP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</m:oMath>
      <w:r w:rsidR="00457FBD" w:rsidRPr="004A6E99">
        <w:rPr>
          <w:sz w:val="20"/>
          <w:szCs w:val="20"/>
          <w:lang w:val="ru-RU"/>
        </w:rPr>
        <w:t xml:space="preserve"> – объем обязательств в соответствующей валюте или Ценных бумагах, предназначенной к поставке.</w:t>
      </w:r>
    </w:p>
    <w:p w:rsidR="00457FBD" w:rsidRPr="004A6E99" w:rsidRDefault="00457FBD" w:rsidP="00457FBD">
      <w:pPr>
        <w:spacing w:before="120" w:after="120"/>
        <w:ind w:left="686"/>
        <w:rPr>
          <w:b/>
          <w:i/>
          <w:sz w:val="20"/>
          <w:szCs w:val="20"/>
          <w:lang w:val="ru-RU"/>
        </w:rPr>
      </w:pPr>
      <w:proofErr w:type="spellStart"/>
      <w:proofErr w:type="gramStart"/>
      <w:r w:rsidRPr="004A6E99">
        <w:rPr>
          <w:sz w:val="20"/>
          <w:szCs w:val="20"/>
        </w:rPr>
        <w:t>CrossrateRub</w:t>
      </w:r>
      <w:proofErr w:type="spellEnd"/>
      <w:r w:rsidRPr="004A6E99">
        <w:rPr>
          <w:sz w:val="20"/>
          <w:szCs w:val="20"/>
          <w:lang w:val="ru-RU"/>
        </w:rPr>
        <w:t>_</w:t>
      </w:r>
      <w:r w:rsidRPr="004A6E99">
        <w:rPr>
          <w:sz w:val="20"/>
          <w:szCs w:val="20"/>
        </w:rPr>
        <w:t>TOM</w:t>
      </w:r>
      <w:r w:rsidRPr="004A6E99">
        <w:rPr>
          <w:sz w:val="20"/>
          <w:szCs w:val="20"/>
          <w:lang w:val="ru-RU"/>
        </w:rPr>
        <w:t xml:space="preserve"> – цена инструмента в сопряженной валюте в российских рублях с расчетами «завтра» или цена Ценной бумаги в российских рублях с расч</w:t>
      </w:r>
      <w:r w:rsidR="002A37DB" w:rsidRPr="004A6E99">
        <w:rPr>
          <w:sz w:val="20"/>
          <w:szCs w:val="20"/>
          <w:lang w:val="ru-RU"/>
        </w:rPr>
        <w:t>е</w:t>
      </w:r>
      <w:r w:rsidRPr="004A6E99">
        <w:rPr>
          <w:sz w:val="20"/>
          <w:szCs w:val="20"/>
          <w:lang w:val="ru-RU"/>
        </w:rPr>
        <w:t xml:space="preserve">тами </w:t>
      </w:r>
      <w:r w:rsidRPr="004A6E99">
        <w:rPr>
          <w:sz w:val="20"/>
          <w:szCs w:val="20"/>
        </w:rPr>
        <w:t>T</w:t>
      </w:r>
      <w:r w:rsidRPr="004A6E99">
        <w:rPr>
          <w:sz w:val="20"/>
          <w:szCs w:val="20"/>
          <w:lang w:val="ru-RU"/>
        </w:rPr>
        <w:t>+2.</w:t>
      </w:r>
      <w:proofErr w:type="gramEnd"/>
    </w:p>
    <w:p w:rsidR="00BE6FB5" w:rsidRPr="004A6E99" w:rsidRDefault="00457FBD" w:rsidP="00457FBD">
      <w:pPr>
        <w:pStyle w:val="a5"/>
        <w:numPr>
          <w:ilvl w:val="0"/>
          <w:numId w:val="1"/>
        </w:numPr>
        <w:spacing w:before="120" w:after="120"/>
        <w:rPr>
          <w:b/>
          <w:sz w:val="20"/>
          <w:szCs w:val="20"/>
          <w:lang w:val="ru-RU"/>
        </w:rPr>
      </w:pPr>
      <w:r w:rsidRPr="004A6E99">
        <w:rPr>
          <w:b/>
          <w:sz w:val="20"/>
          <w:szCs w:val="20"/>
          <w:lang w:val="ru-RU"/>
        </w:rPr>
        <w:t>Уровень покрытия на Валютном, Фондовом и Внебиржевом рынках для Клиентов, не использующих Обособленный расч</w:t>
      </w:r>
      <w:r w:rsidR="002A37DB" w:rsidRPr="004A6E99">
        <w:rPr>
          <w:b/>
          <w:sz w:val="20"/>
          <w:szCs w:val="20"/>
          <w:lang w:val="ru-RU"/>
        </w:rPr>
        <w:t>е</w:t>
      </w:r>
      <w:r w:rsidRPr="004A6E99">
        <w:rPr>
          <w:b/>
          <w:sz w:val="20"/>
          <w:szCs w:val="20"/>
          <w:lang w:val="ru-RU"/>
        </w:rPr>
        <w:t>тный код.</w:t>
      </w:r>
    </w:p>
    <w:p w:rsidR="00457FBD" w:rsidRPr="004A6E99" w:rsidRDefault="00457FBD" w:rsidP="00457FBD">
      <w:pPr>
        <w:pStyle w:val="a5"/>
        <w:numPr>
          <w:ilvl w:val="1"/>
          <w:numId w:val="1"/>
        </w:numPr>
        <w:spacing w:before="120" w:after="120"/>
        <w:rPr>
          <w:b/>
          <w:sz w:val="20"/>
          <w:szCs w:val="20"/>
          <w:lang w:val="ru-RU"/>
        </w:rPr>
      </w:pPr>
      <w:r w:rsidRPr="004A6E99">
        <w:rPr>
          <w:sz w:val="20"/>
          <w:szCs w:val="20"/>
          <w:lang w:val="ru-RU"/>
        </w:rPr>
        <w:t>Уровень покрытия на Валютном рынке, Фондовом рынке и Внебиржевом рынке рассчитывается по формуле:</w:t>
      </w:r>
    </w:p>
    <w:p w:rsidR="00457FBD" w:rsidRPr="004A6E99" w:rsidRDefault="00457FBD" w:rsidP="00457FBD">
      <w:pPr>
        <w:pStyle w:val="a5"/>
        <w:spacing w:before="120" w:after="120"/>
        <w:ind w:firstLine="0"/>
        <w:rPr>
          <w:sz w:val="20"/>
          <w:szCs w:val="20"/>
          <w:lang w:val="ru-RU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Уровень покрытия =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СГО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СГО+Задолженность</m:t>
                  </m:r>
                </m:den>
              </m:f>
            </m:e>
          </m:d>
          <m:r>
            <w:rPr>
              <w:rFonts w:ascii="Cambria Math" w:hAnsi="Cambria Math"/>
              <w:sz w:val="20"/>
              <w:szCs w:val="20"/>
            </w:rPr>
            <m:t>* 100%</m:t>
          </m:r>
        </m:oMath>
      </m:oMathPara>
    </w:p>
    <w:p w:rsidR="00BE6FB5" w:rsidRPr="001C01F4" w:rsidRDefault="00BE6FB5" w:rsidP="00BE6FB5">
      <w:pPr>
        <w:spacing w:before="120" w:after="120"/>
        <w:rPr>
          <w:sz w:val="20"/>
          <w:szCs w:val="20"/>
          <w:lang w:val="ru-RU"/>
        </w:rPr>
      </w:pPr>
    </w:p>
    <w:p w:rsidR="00BE6FB5" w:rsidRPr="001C01F4" w:rsidRDefault="00BE6FB5" w:rsidP="00BE6FB5">
      <w:pPr>
        <w:rPr>
          <w:sz w:val="20"/>
          <w:szCs w:val="20"/>
          <w:lang w:val="ru-RU"/>
        </w:rPr>
      </w:pPr>
    </w:p>
    <w:sectPr w:rsidR="00BE6FB5" w:rsidRPr="001C01F4" w:rsidSect="001C01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4BD8"/>
    <w:multiLevelType w:val="multilevel"/>
    <w:tmpl w:val="0B586A08"/>
    <w:lvl w:ilvl="0">
      <w:start w:val="1"/>
      <w:numFmt w:val="decimal"/>
      <w:lvlText w:val="%1."/>
      <w:lvlJc w:val="left"/>
      <w:pPr>
        <w:ind w:left="343" w:hanging="22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118" w:hanging="432"/>
      </w:pPr>
      <w:rPr>
        <w:rFonts w:ascii="Arial" w:eastAsia="Arial" w:hAnsi="Arial" w:cs="Arial" w:hint="default"/>
        <w:b w:val="0"/>
        <w:i w:val="0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153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608" w:hanging="284"/>
      </w:pPr>
      <w:rPr>
        <w:rFonts w:hint="default"/>
      </w:rPr>
    </w:lvl>
    <w:lvl w:ilvl="4">
      <w:numFmt w:val="bullet"/>
      <w:lvlText w:val="•"/>
      <w:lvlJc w:val="left"/>
      <w:pPr>
        <w:ind w:left="3676" w:hanging="284"/>
      </w:pPr>
      <w:rPr>
        <w:rFonts w:hint="default"/>
      </w:rPr>
    </w:lvl>
    <w:lvl w:ilvl="5">
      <w:numFmt w:val="bullet"/>
      <w:lvlText w:val="•"/>
      <w:lvlJc w:val="left"/>
      <w:pPr>
        <w:ind w:left="4744" w:hanging="284"/>
      </w:pPr>
      <w:rPr>
        <w:rFonts w:hint="default"/>
      </w:rPr>
    </w:lvl>
    <w:lvl w:ilvl="6">
      <w:numFmt w:val="bullet"/>
      <w:lvlText w:val="•"/>
      <w:lvlJc w:val="left"/>
      <w:pPr>
        <w:ind w:left="5813" w:hanging="284"/>
      </w:pPr>
      <w:rPr>
        <w:rFonts w:hint="default"/>
      </w:rPr>
    </w:lvl>
    <w:lvl w:ilvl="7">
      <w:numFmt w:val="bullet"/>
      <w:lvlText w:val="•"/>
      <w:lvlJc w:val="left"/>
      <w:pPr>
        <w:ind w:left="6881" w:hanging="284"/>
      </w:pPr>
      <w:rPr>
        <w:rFonts w:hint="default"/>
      </w:rPr>
    </w:lvl>
    <w:lvl w:ilvl="8">
      <w:numFmt w:val="bullet"/>
      <w:lvlText w:val="•"/>
      <w:lvlJc w:val="left"/>
      <w:pPr>
        <w:ind w:left="7949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B5"/>
    <w:rsid w:val="00074D1B"/>
    <w:rsid w:val="0012455D"/>
    <w:rsid w:val="00140BF6"/>
    <w:rsid w:val="001656C4"/>
    <w:rsid w:val="00165CCE"/>
    <w:rsid w:val="001C01F4"/>
    <w:rsid w:val="001E0FFB"/>
    <w:rsid w:val="001E2401"/>
    <w:rsid w:val="002A37DB"/>
    <w:rsid w:val="002C5074"/>
    <w:rsid w:val="003B1667"/>
    <w:rsid w:val="003E0510"/>
    <w:rsid w:val="0042251B"/>
    <w:rsid w:val="00457FBD"/>
    <w:rsid w:val="00495B4F"/>
    <w:rsid w:val="004A6E99"/>
    <w:rsid w:val="004F2E4F"/>
    <w:rsid w:val="00522E8E"/>
    <w:rsid w:val="005F45F8"/>
    <w:rsid w:val="00652116"/>
    <w:rsid w:val="006D4C01"/>
    <w:rsid w:val="007609E2"/>
    <w:rsid w:val="007F1236"/>
    <w:rsid w:val="008A0B01"/>
    <w:rsid w:val="00951135"/>
    <w:rsid w:val="00A1305E"/>
    <w:rsid w:val="00A41B74"/>
    <w:rsid w:val="00AA3181"/>
    <w:rsid w:val="00AB289A"/>
    <w:rsid w:val="00AC2A77"/>
    <w:rsid w:val="00B31D6F"/>
    <w:rsid w:val="00BC3378"/>
    <w:rsid w:val="00BE6FB5"/>
    <w:rsid w:val="00C45394"/>
    <w:rsid w:val="00D20583"/>
    <w:rsid w:val="00D62AC6"/>
    <w:rsid w:val="00D63DCC"/>
    <w:rsid w:val="00DB1E33"/>
    <w:rsid w:val="00DC07DA"/>
    <w:rsid w:val="00E75728"/>
    <w:rsid w:val="00EC5204"/>
    <w:rsid w:val="00F3153D"/>
    <w:rsid w:val="00F45E62"/>
    <w:rsid w:val="00F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6FB5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6FB5"/>
    <w:pPr>
      <w:ind w:left="1118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E6FB5"/>
    <w:rPr>
      <w:rFonts w:ascii="Arial" w:eastAsia="Arial" w:hAnsi="Arial" w:cs="Arial"/>
      <w:sz w:val="20"/>
      <w:szCs w:val="20"/>
      <w:lang w:val="en-US"/>
    </w:rPr>
  </w:style>
  <w:style w:type="paragraph" w:customStyle="1" w:styleId="11">
    <w:name w:val="Заголовок 11"/>
    <w:basedOn w:val="a"/>
    <w:uiPriority w:val="1"/>
    <w:qFormat/>
    <w:rsid w:val="00BE6FB5"/>
    <w:pPr>
      <w:spacing w:before="118"/>
      <w:ind w:left="343" w:hanging="226"/>
      <w:outlineLvl w:val="1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BE6FB5"/>
    <w:pPr>
      <w:spacing w:before="123"/>
      <w:ind w:left="1118" w:hanging="432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E6F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FB5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6FB5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6FB5"/>
    <w:pPr>
      <w:ind w:left="1118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E6FB5"/>
    <w:rPr>
      <w:rFonts w:ascii="Arial" w:eastAsia="Arial" w:hAnsi="Arial" w:cs="Arial"/>
      <w:sz w:val="20"/>
      <w:szCs w:val="20"/>
      <w:lang w:val="en-US"/>
    </w:rPr>
  </w:style>
  <w:style w:type="paragraph" w:customStyle="1" w:styleId="11">
    <w:name w:val="Заголовок 11"/>
    <w:basedOn w:val="a"/>
    <w:uiPriority w:val="1"/>
    <w:qFormat/>
    <w:rsid w:val="00BE6FB5"/>
    <w:pPr>
      <w:spacing w:before="118"/>
      <w:ind w:left="343" w:hanging="226"/>
      <w:outlineLvl w:val="1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BE6FB5"/>
    <w:pPr>
      <w:spacing w:before="123"/>
      <w:ind w:left="1118" w:hanging="432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E6F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FB5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114F0-E9BF-452D-A31C-EEB9303F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rykunov</dc:creator>
  <cp:lastModifiedBy>Нафиков Олег Ирекович</cp:lastModifiedBy>
  <cp:revision>3</cp:revision>
  <dcterms:created xsi:type="dcterms:W3CDTF">2022-08-24T14:34:00Z</dcterms:created>
  <dcterms:modified xsi:type="dcterms:W3CDTF">2022-11-28T09:09:00Z</dcterms:modified>
</cp:coreProperties>
</file>