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2D" w:rsidRPr="00F044BB" w:rsidRDefault="0004192D" w:rsidP="00F044BB">
      <w:pPr>
        <w:pStyle w:val="af5"/>
        <w:ind w:firstLine="2160"/>
        <w:jc w:val="right"/>
        <w:rPr>
          <w:i/>
          <w:sz w:val="22"/>
          <w:szCs w:val="22"/>
        </w:rPr>
      </w:pPr>
      <w:r w:rsidRPr="00F044BB">
        <w:rPr>
          <w:i/>
          <w:sz w:val="22"/>
          <w:szCs w:val="22"/>
        </w:rPr>
        <w:t>Приложение № 1а</w:t>
      </w:r>
    </w:p>
    <w:p w:rsidR="0004192D" w:rsidRPr="00F044BB" w:rsidRDefault="0004192D" w:rsidP="00F044BB">
      <w:pPr>
        <w:ind w:firstLine="2160"/>
        <w:jc w:val="right"/>
        <w:rPr>
          <w:i/>
          <w:iCs/>
          <w:sz w:val="22"/>
          <w:szCs w:val="22"/>
        </w:rPr>
      </w:pPr>
      <w:r w:rsidRPr="00F044BB">
        <w:rPr>
          <w:i/>
          <w:iCs/>
          <w:sz w:val="22"/>
          <w:szCs w:val="22"/>
        </w:rPr>
        <w:t>к  Регламенту оказания услуг на финансовых рынках для физических лиц</w:t>
      </w:r>
    </w:p>
    <w:p w:rsidR="0004192D" w:rsidRPr="00F044BB" w:rsidRDefault="0004192D" w:rsidP="00F044BB">
      <w:pPr>
        <w:pStyle w:val="af5"/>
        <w:ind w:firstLine="2160"/>
        <w:jc w:val="right"/>
        <w:rPr>
          <w:i/>
          <w:sz w:val="22"/>
          <w:szCs w:val="22"/>
        </w:rPr>
      </w:pPr>
    </w:p>
    <w:p w:rsidR="0004192D" w:rsidRPr="00F044BB" w:rsidRDefault="0004192D" w:rsidP="00F044BB">
      <w:pPr>
        <w:pStyle w:val="af7"/>
        <w:spacing w:after="0"/>
        <w:ind w:firstLine="2160"/>
        <w:rPr>
          <w:b/>
          <w:sz w:val="22"/>
          <w:szCs w:val="22"/>
        </w:rPr>
      </w:pPr>
    </w:p>
    <w:p w:rsidR="0004192D" w:rsidRPr="00F044BB" w:rsidRDefault="0004192D" w:rsidP="00C522FB">
      <w:pPr>
        <w:jc w:val="center"/>
        <w:rPr>
          <w:b/>
          <w:sz w:val="22"/>
          <w:szCs w:val="22"/>
        </w:rPr>
      </w:pPr>
      <w:r w:rsidRPr="00F044BB">
        <w:rPr>
          <w:b/>
          <w:sz w:val="22"/>
          <w:szCs w:val="22"/>
        </w:rPr>
        <w:t xml:space="preserve">Ключевые условия </w:t>
      </w:r>
      <w:r w:rsidR="00C522FB">
        <w:rPr>
          <w:b/>
          <w:sz w:val="22"/>
          <w:szCs w:val="22"/>
        </w:rPr>
        <w:t>Договора оказания услуг на финансовых рынках</w:t>
      </w:r>
    </w:p>
    <w:p w:rsidR="0004192D" w:rsidRPr="00F044BB" w:rsidRDefault="0004192D" w:rsidP="00F044BB">
      <w:pPr>
        <w:ind w:firstLine="2160"/>
        <w:rPr>
          <w:sz w:val="22"/>
          <w:szCs w:val="22"/>
        </w:rPr>
      </w:pPr>
    </w:p>
    <w:p w:rsidR="00C522FB" w:rsidRPr="00C522FB" w:rsidRDefault="00C522FB" w:rsidP="00FE7809">
      <w:pPr>
        <w:ind w:firstLine="709"/>
        <w:jc w:val="both"/>
        <w:rPr>
          <w:sz w:val="22"/>
          <w:szCs w:val="22"/>
        </w:rPr>
      </w:pPr>
      <w:r w:rsidRPr="00F044BB">
        <w:rPr>
          <w:sz w:val="22"/>
          <w:szCs w:val="22"/>
        </w:rPr>
        <w:t>Я, ____________ (далее – «Клиент») настоящим подтверждаю, что Публичное акционерное общество «СПБ Банк» (далее</w:t>
      </w:r>
      <w:r>
        <w:rPr>
          <w:sz w:val="22"/>
          <w:szCs w:val="22"/>
        </w:rPr>
        <w:t xml:space="preserve"> – «Банк») довело до меня сведения о следующих ключевых условиях Договора оказания услуг на финансовых рынках, заключаемого посредством присоединения к Регл</w:t>
      </w:r>
      <w:r w:rsidR="00975066">
        <w:rPr>
          <w:sz w:val="22"/>
          <w:szCs w:val="22"/>
        </w:rPr>
        <w:t>а</w:t>
      </w:r>
      <w:r>
        <w:rPr>
          <w:sz w:val="22"/>
          <w:szCs w:val="22"/>
        </w:rPr>
        <w:t>менту оказания услуг на финансовых рынках (далее – «Регламент»)</w:t>
      </w:r>
      <w:r w:rsidRPr="00C522FB">
        <w:rPr>
          <w:sz w:val="22"/>
          <w:szCs w:val="22"/>
        </w:rPr>
        <w:t xml:space="preserve">: </w:t>
      </w:r>
    </w:p>
    <w:p w:rsidR="005C6F2B" w:rsidRPr="00F044BB" w:rsidRDefault="005C6F2B" w:rsidP="00F044BB">
      <w:pPr>
        <w:rPr>
          <w:sz w:val="22"/>
          <w:szCs w:val="22"/>
        </w:rPr>
      </w:pPr>
    </w:p>
    <w:p w:rsidR="00C40087" w:rsidRPr="00C522FB" w:rsidRDefault="005C6F2B" w:rsidP="00F044BB">
      <w:pPr>
        <w:pStyle w:val="aa"/>
        <w:numPr>
          <w:ilvl w:val="0"/>
          <w:numId w:val="14"/>
        </w:numPr>
        <w:ind w:left="0" w:firstLine="709"/>
        <w:rPr>
          <w:rFonts w:ascii="Times New Roman" w:hAnsi="Times New Roman"/>
          <w:b/>
          <w:sz w:val="22"/>
          <w:szCs w:val="22"/>
        </w:rPr>
      </w:pPr>
      <w:r w:rsidRPr="00F044BB">
        <w:rPr>
          <w:rFonts w:ascii="Times New Roman" w:hAnsi="Times New Roman"/>
          <w:b/>
          <w:sz w:val="22"/>
          <w:szCs w:val="22"/>
        </w:rPr>
        <w:t>Содержание брокерских услуг</w:t>
      </w:r>
    </w:p>
    <w:p w:rsidR="005C6F2B" w:rsidRPr="00F044BB" w:rsidRDefault="005C6F2B" w:rsidP="00CF40CB">
      <w:pPr>
        <w:ind w:firstLine="709"/>
        <w:jc w:val="both"/>
        <w:rPr>
          <w:sz w:val="22"/>
          <w:szCs w:val="22"/>
        </w:rPr>
      </w:pPr>
      <w:r w:rsidRPr="00F044BB">
        <w:rPr>
          <w:sz w:val="22"/>
          <w:szCs w:val="22"/>
        </w:rPr>
        <w:t xml:space="preserve">В рамках Договора об оказании услуг на финансовых рынках Банк по поручению, в интересах и за счет Клиента оказывает следующие услуги: </w:t>
      </w:r>
    </w:p>
    <w:p w:rsidR="005C6F2B" w:rsidRPr="00F044BB" w:rsidRDefault="005C6F2B" w:rsidP="00CF40CB">
      <w:pPr>
        <w:pStyle w:val="aa"/>
        <w:numPr>
          <w:ilvl w:val="0"/>
          <w:numId w:val="9"/>
        </w:numPr>
        <w:ind w:left="0" w:firstLine="709"/>
        <w:jc w:val="both"/>
        <w:rPr>
          <w:rFonts w:ascii="Times New Roman" w:hAnsi="Times New Roman"/>
          <w:sz w:val="22"/>
          <w:szCs w:val="22"/>
        </w:rPr>
      </w:pPr>
      <w:r w:rsidRPr="00F044BB">
        <w:rPr>
          <w:rFonts w:ascii="Times New Roman" w:hAnsi="Times New Roman"/>
          <w:sz w:val="22"/>
          <w:szCs w:val="22"/>
        </w:rPr>
        <w:t xml:space="preserve">услуги по заключению договоров купли-продажи ценных бумаг и договоров </w:t>
      </w:r>
      <w:proofErr w:type="spellStart"/>
      <w:r w:rsidRPr="00F044BB">
        <w:rPr>
          <w:rFonts w:ascii="Times New Roman" w:hAnsi="Times New Roman"/>
          <w:sz w:val="22"/>
          <w:szCs w:val="22"/>
        </w:rPr>
        <w:t>репо</w:t>
      </w:r>
      <w:proofErr w:type="spellEnd"/>
      <w:r w:rsidRPr="00F044BB">
        <w:rPr>
          <w:rFonts w:ascii="Times New Roman" w:hAnsi="Times New Roman"/>
          <w:sz w:val="22"/>
          <w:szCs w:val="22"/>
        </w:rPr>
        <w:t>;</w:t>
      </w:r>
    </w:p>
    <w:p w:rsidR="005C6F2B" w:rsidRDefault="005C6F2B" w:rsidP="00CF40CB">
      <w:pPr>
        <w:pStyle w:val="aa"/>
        <w:numPr>
          <w:ilvl w:val="0"/>
          <w:numId w:val="9"/>
        </w:numPr>
        <w:ind w:left="0" w:firstLine="709"/>
        <w:jc w:val="both"/>
        <w:rPr>
          <w:rFonts w:ascii="Times New Roman" w:hAnsi="Times New Roman"/>
          <w:sz w:val="22"/>
          <w:szCs w:val="22"/>
        </w:rPr>
      </w:pPr>
      <w:r w:rsidRPr="00F044BB">
        <w:rPr>
          <w:rFonts w:ascii="Times New Roman" w:hAnsi="Times New Roman"/>
          <w:sz w:val="22"/>
          <w:szCs w:val="22"/>
        </w:rPr>
        <w:t>услуги по заключению договоров к</w:t>
      </w:r>
      <w:r w:rsidR="00C338D1" w:rsidRPr="00F044BB">
        <w:rPr>
          <w:rFonts w:ascii="Times New Roman" w:hAnsi="Times New Roman"/>
          <w:sz w:val="22"/>
          <w:szCs w:val="22"/>
        </w:rPr>
        <w:t>упли-продажи иностранной валюты;</w:t>
      </w:r>
    </w:p>
    <w:p w:rsidR="00975066" w:rsidRPr="00F044BB" w:rsidRDefault="00975066" w:rsidP="00975066">
      <w:pPr>
        <w:pStyle w:val="aa"/>
        <w:numPr>
          <w:ilvl w:val="0"/>
          <w:numId w:val="9"/>
        </w:numPr>
        <w:ind w:left="0" w:firstLine="709"/>
        <w:jc w:val="both"/>
        <w:rPr>
          <w:rFonts w:ascii="Times New Roman" w:hAnsi="Times New Roman"/>
          <w:sz w:val="22"/>
          <w:szCs w:val="22"/>
        </w:rPr>
      </w:pPr>
      <w:r w:rsidRPr="00F044BB">
        <w:rPr>
          <w:rFonts w:ascii="Times New Roman" w:hAnsi="Times New Roman"/>
          <w:sz w:val="22"/>
          <w:szCs w:val="22"/>
        </w:rPr>
        <w:t>услуги по заключению, исполнению и прекращению договоров, являющихся производными финансовыми инструментами;</w:t>
      </w:r>
    </w:p>
    <w:p w:rsidR="005C6F2B" w:rsidRPr="00F044BB" w:rsidRDefault="005C6F2B" w:rsidP="00CF40CB">
      <w:pPr>
        <w:pStyle w:val="aa"/>
        <w:numPr>
          <w:ilvl w:val="0"/>
          <w:numId w:val="9"/>
        </w:numPr>
        <w:ind w:left="0" w:firstLine="709"/>
        <w:jc w:val="both"/>
        <w:rPr>
          <w:rFonts w:ascii="Times New Roman" w:hAnsi="Times New Roman"/>
          <w:sz w:val="22"/>
          <w:szCs w:val="22"/>
        </w:rPr>
      </w:pPr>
      <w:r w:rsidRPr="00F044BB">
        <w:rPr>
          <w:rFonts w:ascii="Times New Roman" w:hAnsi="Times New Roman"/>
          <w:sz w:val="22"/>
          <w:szCs w:val="22"/>
        </w:rPr>
        <w:t xml:space="preserve">иные услуги, связанные с заключением договоров, являющихся производными финансовыми инструментами, договоров купли-продажи ценных бумаг, договоров </w:t>
      </w:r>
      <w:proofErr w:type="spellStart"/>
      <w:r w:rsidRPr="00F044BB">
        <w:rPr>
          <w:rFonts w:ascii="Times New Roman" w:hAnsi="Times New Roman"/>
          <w:sz w:val="22"/>
          <w:szCs w:val="22"/>
        </w:rPr>
        <w:t>репо</w:t>
      </w:r>
      <w:proofErr w:type="spellEnd"/>
      <w:r w:rsidRPr="00F044BB">
        <w:rPr>
          <w:rFonts w:ascii="Times New Roman" w:hAnsi="Times New Roman"/>
          <w:sz w:val="22"/>
          <w:szCs w:val="22"/>
        </w:rPr>
        <w:t xml:space="preserve"> и договоров купли-продажи иностранной валюты</w:t>
      </w:r>
      <w:r w:rsidR="00C338D1" w:rsidRPr="00F044BB">
        <w:rPr>
          <w:rFonts w:ascii="Times New Roman" w:hAnsi="Times New Roman"/>
          <w:sz w:val="22"/>
          <w:szCs w:val="22"/>
        </w:rPr>
        <w:t>.</w:t>
      </w:r>
    </w:p>
    <w:p w:rsidR="005C6F2B" w:rsidRPr="00FE7809" w:rsidRDefault="00C338D1" w:rsidP="00CF40CB">
      <w:pPr>
        <w:ind w:firstLine="709"/>
        <w:jc w:val="both"/>
        <w:rPr>
          <w:sz w:val="22"/>
          <w:szCs w:val="22"/>
        </w:rPr>
      </w:pPr>
      <w:r w:rsidRPr="00F044BB">
        <w:rPr>
          <w:sz w:val="22"/>
          <w:szCs w:val="22"/>
        </w:rPr>
        <w:t xml:space="preserve">Соответствующие услуги оказываются Банком как на организованных торгах, так и на внебиржевом рынке. </w:t>
      </w:r>
    </w:p>
    <w:p w:rsidR="00C522FB" w:rsidRPr="00637D1C" w:rsidRDefault="00C522FB" w:rsidP="00CF40CB">
      <w:pPr>
        <w:ind w:firstLine="709"/>
        <w:jc w:val="both"/>
        <w:rPr>
          <w:sz w:val="22"/>
          <w:szCs w:val="22"/>
        </w:rPr>
      </w:pPr>
      <w:r w:rsidRPr="00637D1C">
        <w:rPr>
          <w:sz w:val="22"/>
          <w:szCs w:val="22"/>
        </w:rPr>
        <w:t xml:space="preserve">Более подробно содержание оказываемых Банком услуг изложено в части 3 Регламента. </w:t>
      </w:r>
    </w:p>
    <w:p w:rsidR="00637D1C" w:rsidRPr="00FE7809" w:rsidRDefault="00637D1C" w:rsidP="00CF40CB">
      <w:pPr>
        <w:ind w:firstLine="709"/>
        <w:jc w:val="both"/>
        <w:rPr>
          <w:sz w:val="22"/>
          <w:szCs w:val="22"/>
        </w:rPr>
      </w:pPr>
      <w:r>
        <w:rPr>
          <w:sz w:val="22"/>
          <w:szCs w:val="22"/>
        </w:rPr>
        <w:t xml:space="preserve">С </w:t>
      </w:r>
      <w:r w:rsidRPr="00861E3B">
        <w:rPr>
          <w:sz w:val="22"/>
          <w:szCs w:val="22"/>
        </w:rPr>
        <w:t>Регламент</w:t>
      </w:r>
      <w:r>
        <w:rPr>
          <w:sz w:val="22"/>
          <w:szCs w:val="22"/>
        </w:rPr>
        <w:t>ом</w:t>
      </w:r>
      <w:r w:rsidRPr="00861E3B">
        <w:rPr>
          <w:sz w:val="22"/>
          <w:szCs w:val="22"/>
        </w:rPr>
        <w:t xml:space="preserve"> оказания услуг на финансовых рынках для физических лиц</w:t>
      </w:r>
      <w:r>
        <w:rPr>
          <w:sz w:val="22"/>
          <w:szCs w:val="22"/>
        </w:rPr>
        <w:t xml:space="preserve"> можно ознакомиться на сайте Банка по ссылке </w:t>
      </w:r>
      <w:r w:rsidRPr="00637D1C">
        <w:rPr>
          <w:sz w:val="22"/>
          <w:szCs w:val="22"/>
        </w:rPr>
        <w:t>https://spbbank.ru/ru/docs/</w:t>
      </w:r>
      <w:r>
        <w:rPr>
          <w:sz w:val="22"/>
          <w:szCs w:val="22"/>
        </w:rPr>
        <w:t>.</w:t>
      </w:r>
    </w:p>
    <w:p w:rsidR="005C6F2B" w:rsidRPr="00F044BB" w:rsidRDefault="005C6F2B" w:rsidP="00F044BB">
      <w:pPr>
        <w:rPr>
          <w:sz w:val="22"/>
          <w:szCs w:val="22"/>
        </w:rPr>
      </w:pPr>
    </w:p>
    <w:p w:rsidR="00C338D1" w:rsidRPr="00F044BB" w:rsidRDefault="00C338D1" w:rsidP="00F044BB">
      <w:pPr>
        <w:pStyle w:val="aa"/>
        <w:numPr>
          <w:ilvl w:val="0"/>
          <w:numId w:val="14"/>
        </w:numPr>
        <w:ind w:left="0" w:firstLine="709"/>
        <w:rPr>
          <w:rFonts w:ascii="Times New Roman" w:hAnsi="Times New Roman"/>
          <w:b/>
          <w:sz w:val="22"/>
          <w:szCs w:val="22"/>
        </w:rPr>
      </w:pPr>
      <w:r w:rsidRPr="00F044BB">
        <w:rPr>
          <w:rFonts w:ascii="Times New Roman" w:hAnsi="Times New Roman"/>
          <w:b/>
          <w:sz w:val="22"/>
          <w:szCs w:val="22"/>
        </w:rPr>
        <w:t>Право использования активов Клиента в своих интересах</w:t>
      </w:r>
    </w:p>
    <w:p w:rsidR="00C338D1" w:rsidRPr="00F044BB" w:rsidRDefault="00C338D1" w:rsidP="00F044BB">
      <w:pPr>
        <w:rPr>
          <w:sz w:val="22"/>
          <w:szCs w:val="22"/>
        </w:rPr>
      </w:pPr>
    </w:p>
    <w:p w:rsidR="00C338D1" w:rsidRPr="00F044BB" w:rsidRDefault="00C338D1" w:rsidP="00C522FB">
      <w:pPr>
        <w:ind w:firstLine="709"/>
        <w:jc w:val="both"/>
        <w:rPr>
          <w:sz w:val="22"/>
          <w:szCs w:val="22"/>
        </w:rPr>
      </w:pPr>
      <w:r w:rsidRPr="00F044BB">
        <w:rPr>
          <w:sz w:val="22"/>
          <w:szCs w:val="22"/>
        </w:rPr>
        <w:t>Банк вправе использовать в своих интересах денежные средства и (или) ценные бумаги Клиента. Банк гарантирует Клиенту исполнение его Поручений за счет указанных денежных средств и ценных бумаг либо их возврат по требованию Клиента в сроки, предусмотренные законодательными и иными нормативными актами, регулирующими брокерскую деятельность и настоящим Регламентом. Начисление процентов за использование указанных денежных средств и (или) ценных бумаг Банком не предусматривается.</w:t>
      </w:r>
    </w:p>
    <w:p w:rsidR="00B44215" w:rsidRPr="00F044BB" w:rsidRDefault="00B44215" w:rsidP="00C522FB">
      <w:pPr>
        <w:ind w:firstLine="709"/>
        <w:jc w:val="both"/>
        <w:rPr>
          <w:sz w:val="22"/>
          <w:szCs w:val="22"/>
        </w:rPr>
      </w:pPr>
    </w:p>
    <w:p w:rsidR="00B44215" w:rsidRPr="00F044BB" w:rsidRDefault="00B44215" w:rsidP="00C522FB">
      <w:pPr>
        <w:ind w:firstLine="709"/>
        <w:jc w:val="both"/>
        <w:rPr>
          <w:sz w:val="22"/>
          <w:szCs w:val="22"/>
        </w:rPr>
      </w:pPr>
      <w:r w:rsidRPr="00F044BB">
        <w:rPr>
          <w:sz w:val="22"/>
          <w:szCs w:val="22"/>
        </w:rPr>
        <w:t>Клиент ознакомлен с рисками, связанными с использованием Банком в своих интересах денежных средс</w:t>
      </w:r>
      <w:r w:rsidR="00C40087" w:rsidRPr="00F044BB">
        <w:rPr>
          <w:sz w:val="22"/>
          <w:szCs w:val="22"/>
        </w:rPr>
        <w:t>тв и (или) ценных бумаг Клиента.</w:t>
      </w:r>
      <w:r w:rsidR="00CF40CB">
        <w:rPr>
          <w:sz w:val="22"/>
          <w:szCs w:val="22"/>
        </w:rPr>
        <w:t xml:space="preserve"> Клиент также обязуется более подробно ознакомиться </w:t>
      </w:r>
      <w:r w:rsidR="00DE17C5">
        <w:rPr>
          <w:sz w:val="22"/>
          <w:szCs w:val="22"/>
        </w:rPr>
        <w:t xml:space="preserve">с </w:t>
      </w:r>
      <w:r w:rsidR="00CF40CB" w:rsidRPr="00CF40CB">
        <w:rPr>
          <w:sz w:val="22"/>
          <w:szCs w:val="22"/>
        </w:rPr>
        <w:t>информаци</w:t>
      </w:r>
      <w:r w:rsidR="00CF40CB">
        <w:rPr>
          <w:sz w:val="22"/>
          <w:szCs w:val="22"/>
        </w:rPr>
        <w:t>ей</w:t>
      </w:r>
      <w:r w:rsidR="00CF40CB" w:rsidRPr="00CF40CB">
        <w:rPr>
          <w:sz w:val="22"/>
          <w:szCs w:val="22"/>
        </w:rPr>
        <w:t xml:space="preserve"> об основных рисках, связанных с осуществлением операций на рынке ценных бумаг</w:t>
      </w:r>
      <w:r w:rsidR="00CF40CB">
        <w:rPr>
          <w:sz w:val="22"/>
          <w:szCs w:val="22"/>
        </w:rPr>
        <w:t xml:space="preserve">, операций с производными финансовыми инструментами, связанных с совершением маржинальных и непокрытых сделок и другими рисками, связанными с оказанием Банком услуг Клиенту, изложенной в Приложении №9 к Регламенту. </w:t>
      </w:r>
    </w:p>
    <w:p w:rsidR="001F65CE" w:rsidRPr="00F044BB" w:rsidRDefault="001F65CE" w:rsidP="00C522FB">
      <w:pPr>
        <w:ind w:firstLine="709"/>
        <w:jc w:val="both"/>
        <w:rPr>
          <w:sz w:val="22"/>
          <w:szCs w:val="22"/>
        </w:rPr>
      </w:pPr>
    </w:p>
    <w:p w:rsidR="001F65CE" w:rsidRPr="00F044BB" w:rsidRDefault="00B44215" w:rsidP="00C522FB">
      <w:pPr>
        <w:ind w:firstLine="709"/>
        <w:jc w:val="both"/>
        <w:rPr>
          <w:sz w:val="22"/>
          <w:szCs w:val="22"/>
        </w:rPr>
      </w:pPr>
      <w:r w:rsidRPr="00F044BB">
        <w:rPr>
          <w:sz w:val="22"/>
          <w:szCs w:val="22"/>
        </w:rPr>
        <w:t>Клиент ознакомлен с правом</w:t>
      </w:r>
      <w:r w:rsidR="001F65CE" w:rsidRPr="00F044BB">
        <w:rPr>
          <w:sz w:val="22"/>
          <w:szCs w:val="22"/>
        </w:rPr>
        <w:t xml:space="preserve"> направить Банку заявление об отказе от предоставления Банку права использования в своих интересах </w:t>
      </w:r>
      <w:r w:rsidRPr="00F044BB">
        <w:rPr>
          <w:sz w:val="22"/>
          <w:szCs w:val="22"/>
        </w:rPr>
        <w:t>ценных бумаг Клиента</w:t>
      </w:r>
      <w:r w:rsidR="001F65CE" w:rsidRPr="00F044BB">
        <w:rPr>
          <w:sz w:val="22"/>
          <w:szCs w:val="22"/>
        </w:rPr>
        <w:t xml:space="preserve"> в порядке</w:t>
      </w:r>
      <w:r w:rsidRPr="00F044BB">
        <w:rPr>
          <w:sz w:val="22"/>
          <w:szCs w:val="22"/>
        </w:rPr>
        <w:t>,</w:t>
      </w:r>
      <w:r w:rsidR="001F65CE" w:rsidRPr="00F044BB">
        <w:rPr>
          <w:sz w:val="22"/>
          <w:szCs w:val="22"/>
        </w:rPr>
        <w:t xml:space="preserve"> по форме и способом, ус</w:t>
      </w:r>
      <w:r w:rsidRPr="00F044BB">
        <w:rPr>
          <w:sz w:val="22"/>
          <w:szCs w:val="22"/>
        </w:rPr>
        <w:t xml:space="preserve">тановленным частью 3 Регламента, а также с последствиями такого отказа. </w:t>
      </w:r>
    </w:p>
    <w:p w:rsidR="001F65CE" w:rsidRPr="00F044BB" w:rsidRDefault="001F65CE" w:rsidP="00F044BB">
      <w:pPr>
        <w:jc w:val="both"/>
        <w:rPr>
          <w:sz w:val="22"/>
          <w:szCs w:val="22"/>
        </w:rPr>
      </w:pPr>
    </w:p>
    <w:p w:rsidR="00C338D1" w:rsidRPr="00F044BB" w:rsidRDefault="00C338D1" w:rsidP="00F044BB">
      <w:pPr>
        <w:rPr>
          <w:sz w:val="22"/>
          <w:szCs w:val="22"/>
        </w:rPr>
      </w:pPr>
    </w:p>
    <w:p w:rsidR="00C40087" w:rsidRPr="00F044BB" w:rsidRDefault="00C40087" w:rsidP="00F044BB">
      <w:pPr>
        <w:pStyle w:val="aa"/>
        <w:numPr>
          <w:ilvl w:val="0"/>
          <w:numId w:val="14"/>
        </w:numPr>
        <w:ind w:left="0" w:firstLine="709"/>
        <w:rPr>
          <w:rFonts w:ascii="Times New Roman" w:hAnsi="Times New Roman"/>
          <w:b/>
          <w:sz w:val="22"/>
          <w:szCs w:val="22"/>
        </w:rPr>
      </w:pPr>
      <w:r w:rsidRPr="00F044BB">
        <w:rPr>
          <w:rFonts w:ascii="Times New Roman" w:hAnsi="Times New Roman"/>
          <w:b/>
          <w:sz w:val="22"/>
          <w:szCs w:val="22"/>
        </w:rPr>
        <w:t xml:space="preserve">Статус квалифицированного инвестора </w:t>
      </w:r>
    </w:p>
    <w:p w:rsidR="00C40087" w:rsidRPr="00F044BB" w:rsidRDefault="00ED5C27" w:rsidP="001B6EA3">
      <w:pPr>
        <w:ind w:firstLine="709"/>
        <w:jc w:val="both"/>
        <w:rPr>
          <w:sz w:val="22"/>
          <w:szCs w:val="22"/>
        </w:rPr>
      </w:pPr>
      <w:r w:rsidRPr="00F044BB">
        <w:rPr>
          <w:sz w:val="22"/>
          <w:szCs w:val="22"/>
        </w:rPr>
        <w:t xml:space="preserve">Клиент осведомлен, что для подачи поручений Банку на совершение сделок с рядом ценных бумаг и (или) производных финансовых инструментов, предназначенных для квалифицированных инвесторов, Клиент должен обладать статусом квалифицированного инвестора. При этом ценная бумага или производный финансовый инструмент считаются </w:t>
      </w:r>
      <w:r w:rsidRPr="00F044BB">
        <w:rPr>
          <w:sz w:val="22"/>
          <w:szCs w:val="22"/>
        </w:rPr>
        <w:lastRenderedPageBreak/>
        <w:t xml:space="preserve">предназначенными для квалифицированных инвесторов, если в соответствии с нормативными актами Банка России сделки с такими ценными бумагами (договоры, являющиеся такими производными финансовыми инструментами) могут совершаться (заключаться) исключительно квалифицированными инвесторами или за счет квалифицированных инвесторов. </w:t>
      </w:r>
    </w:p>
    <w:p w:rsidR="00ED5C27" w:rsidRDefault="00ED5C27" w:rsidP="00F254CF">
      <w:pPr>
        <w:ind w:firstLine="709"/>
        <w:jc w:val="both"/>
        <w:rPr>
          <w:sz w:val="22"/>
          <w:szCs w:val="22"/>
        </w:rPr>
      </w:pPr>
      <w:r w:rsidRPr="00F044BB">
        <w:rPr>
          <w:sz w:val="22"/>
          <w:szCs w:val="22"/>
        </w:rPr>
        <w:t xml:space="preserve">Полный перечень ценных бумаг и производных финансовых инструментов, предназначенных для квалифицированных инвесторов установлен Указанием Банка России от 09.01.2023 </w:t>
      </w:r>
      <w:r w:rsidR="00F254CF">
        <w:rPr>
          <w:sz w:val="22"/>
          <w:szCs w:val="22"/>
        </w:rPr>
        <w:t>№</w:t>
      </w:r>
      <w:r w:rsidR="00F254CF" w:rsidRPr="00F044BB">
        <w:rPr>
          <w:sz w:val="22"/>
          <w:szCs w:val="22"/>
        </w:rPr>
        <w:t xml:space="preserve"> </w:t>
      </w:r>
      <w:r w:rsidRPr="00F044BB">
        <w:rPr>
          <w:sz w:val="22"/>
          <w:szCs w:val="22"/>
        </w:rPr>
        <w:t xml:space="preserve">6347-У </w:t>
      </w:r>
      <w:r w:rsidR="00F254CF">
        <w:rPr>
          <w:sz w:val="22"/>
          <w:szCs w:val="22"/>
        </w:rPr>
        <w:t>«</w:t>
      </w:r>
      <w:r w:rsidRPr="00F044BB">
        <w:rPr>
          <w:sz w:val="22"/>
          <w:szCs w:val="22"/>
        </w:rPr>
        <w:t>О ценных бумагах и производных финансовых инструментах, предназначенных для квалифицированных инвесторов</w:t>
      </w:r>
      <w:r w:rsidR="00F254CF">
        <w:rPr>
          <w:sz w:val="22"/>
          <w:szCs w:val="22"/>
        </w:rPr>
        <w:t>»</w:t>
      </w:r>
      <w:r w:rsidRPr="00F044BB">
        <w:rPr>
          <w:sz w:val="22"/>
          <w:szCs w:val="22"/>
        </w:rPr>
        <w:t xml:space="preserve">. </w:t>
      </w:r>
    </w:p>
    <w:p w:rsidR="00CF40CB" w:rsidRPr="00F044BB" w:rsidRDefault="00CF40CB" w:rsidP="00F254CF">
      <w:pPr>
        <w:ind w:firstLine="709"/>
        <w:jc w:val="both"/>
        <w:rPr>
          <w:sz w:val="22"/>
          <w:szCs w:val="22"/>
        </w:rPr>
      </w:pPr>
      <w:r>
        <w:rPr>
          <w:sz w:val="22"/>
          <w:szCs w:val="22"/>
        </w:rPr>
        <w:t xml:space="preserve">Порядок признания лица квалифицированным инвестором изложен в </w:t>
      </w:r>
      <w:r>
        <w:t>Регламенте признания лиц квалифицированными инвесторами ПАО «СПБ Банк»</w:t>
      </w:r>
      <w:r w:rsidR="00DE17C5">
        <w:t xml:space="preserve">, размещенном на сайте Банка по ссылке </w:t>
      </w:r>
      <w:r w:rsidR="00DE17C5" w:rsidRPr="00DE17C5">
        <w:t>https://spbbank.ru/ru/docs/</w:t>
      </w:r>
      <w:r>
        <w:t xml:space="preserve">. </w:t>
      </w:r>
    </w:p>
    <w:p w:rsidR="00C40087" w:rsidRPr="00F044BB" w:rsidRDefault="00C40087" w:rsidP="00F044BB">
      <w:pPr>
        <w:rPr>
          <w:sz w:val="22"/>
          <w:szCs w:val="22"/>
        </w:rPr>
      </w:pPr>
    </w:p>
    <w:p w:rsidR="008C0C36" w:rsidRPr="00F044BB" w:rsidRDefault="008C0C36" w:rsidP="00F044BB">
      <w:pPr>
        <w:rPr>
          <w:sz w:val="22"/>
          <w:szCs w:val="22"/>
        </w:rPr>
      </w:pPr>
    </w:p>
    <w:p w:rsidR="007B3DA3" w:rsidRPr="00F044BB" w:rsidRDefault="007B3DA3" w:rsidP="00F044BB">
      <w:pPr>
        <w:pStyle w:val="aa"/>
        <w:numPr>
          <w:ilvl w:val="0"/>
          <w:numId w:val="14"/>
        </w:numPr>
        <w:ind w:left="0" w:firstLine="709"/>
        <w:rPr>
          <w:rFonts w:ascii="Times New Roman" w:hAnsi="Times New Roman"/>
          <w:b/>
          <w:sz w:val="22"/>
          <w:szCs w:val="22"/>
        </w:rPr>
      </w:pPr>
      <w:r w:rsidRPr="00F044BB">
        <w:rPr>
          <w:rFonts w:ascii="Times New Roman" w:hAnsi="Times New Roman"/>
          <w:b/>
          <w:sz w:val="22"/>
          <w:szCs w:val="22"/>
        </w:rPr>
        <w:t xml:space="preserve">Тарифы за обслуживание </w:t>
      </w:r>
      <w:r w:rsidR="002622F2" w:rsidRPr="00F044BB">
        <w:rPr>
          <w:rFonts w:ascii="Times New Roman" w:hAnsi="Times New Roman"/>
          <w:b/>
          <w:sz w:val="22"/>
          <w:szCs w:val="22"/>
        </w:rPr>
        <w:t xml:space="preserve">на финансовых рынках </w:t>
      </w:r>
    </w:p>
    <w:p w:rsidR="00BD6E7C" w:rsidRDefault="007B3DA3" w:rsidP="00861E3B">
      <w:pPr>
        <w:ind w:firstLine="709"/>
        <w:jc w:val="both"/>
        <w:rPr>
          <w:sz w:val="22"/>
          <w:szCs w:val="22"/>
        </w:rPr>
      </w:pPr>
      <w:r w:rsidRPr="00F044BB">
        <w:rPr>
          <w:sz w:val="22"/>
          <w:szCs w:val="22"/>
        </w:rPr>
        <w:t>Клиент ознакомлен</w:t>
      </w:r>
      <w:r w:rsidR="002622F2" w:rsidRPr="00F044BB">
        <w:rPr>
          <w:sz w:val="22"/>
          <w:szCs w:val="22"/>
        </w:rPr>
        <w:t xml:space="preserve"> с</w:t>
      </w:r>
      <w:r w:rsidRPr="00F044BB">
        <w:rPr>
          <w:sz w:val="22"/>
          <w:szCs w:val="22"/>
        </w:rPr>
        <w:t xml:space="preserve"> основны</w:t>
      </w:r>
      <w:r w:rsidR="002622F2" w:rsidRPr="00F044BB">
        <w:rPr>
          <w:sz w:val="22"/>
          <w:szCs w:val="22"/>
        </w:rPr>
        <w:t>ми</w:t>
      </w:r>
      <w:r w:rsidRPr="00F044BB">
        <w:rPr>
          <w:sz w:val="22"/>
          <w:szCs w:val="22"/>
        </w:rPr>
        <w:t xml:space="preserve"> комисси</w:t>
      </w:r>
      <w:r w:rsidR="002622F2" w:rsidRPr="00F044BB">
        <w:rPr>
          <w:sz w:val="22"/>
          <w:szCs w:val="22"/>
        </w:rPr>
        <w:t>ями</w:t>
      </w:r>
      <w:r w:rsidR="00F044BB" w:rsidRPr="00F044BB">
        <w:rPr>
          <w:sz w:val="22"/>
          <w:szCs w:val="22"/>
        </w:rPr>
        <w:t xml:space="preserve">, размером вознаграждения Банка </w:t>
      </w:r>
      <w:r w:rsidRPr="00F044BB">
        <w:rPr>
          <w:sz w:val="22"/>
          <w:szCs w:val="22"/>
        </w:rPr>
        <w:t>и условия</w:t>
      </w:r>
      <w:r w:rsidR="002622F2" w:rsidRPr="00F044BB">
        <w:rPr>
          <w:sz w:val="22"/>
          <w:szCs w:val="22"/>
        </w:rPr>
        <w:t>ми обслуживания на финансовых рынках</w:t>
      </w:r>
      <w:r w:rsidR="00F35BF8">
        <w:rPr>
          <w:sz w:val="22"/>
          <w:szCs w:val="22"/>
        </w:rPr>
        <w:t xml:space="preserve">, </w:t>
      </w:r>
      <w:r w:rsidR="002622F2" w:rsidRPr="00F044BB">
        <w:rPr>
          <w:sz w:val="22"/>
          <w:szCs w:val="22"/>
        </w:rPr>
        <w:t xml:space="preserve">указанных в </w:t>
      </w:r>
      <w:r w:rsidRPr="00F044BB">
        <w:rPr>
          <w:sz w:val="22"/>
          <w:szCs w:val="22"/>
        </w:rPr>
        <w:t>прил</w:t>
      </w:r>
      <w:r w:rsidR="002622F2" w:rsidRPr="00F044BB">
        <w:rPr>
          <w:sz w:val="22"/>
          <w:szCs w:val="22"/>
        </w:rPr>
        <w:t>ожении</w:t>
      </w:r>
      <w:r w:rsidR="00C522FB">
        <w:rPr>
          <w:sz w:val="22"/>
          <w:szCs w:val="22"/>
        </w:rPr>
        <w:t xml:space="preserve"> №</w:t>
      </w:r>
      <w:r w:rsidR="00F254CF">
        <w:rPr>
          <w:sz w:val="22"/>
          <w:szCs w:val="22"/>
        </w:rPr>
        <w:t xml:space="preserve"> </w:t>
      </w:r>
      <w:r w:rsidR="00C522FB">
        <w:rPr>
          <w:sz w:val="22"/>
          <w:szCs w:val="22"/>
        </w:rPr>
        <w:t>1</w:t>
      </w:r>
      <w:r w:rsidRPr="00F044BB">
        <w:rPr>
          <w:sz w:val="22"/>
          <w:szCs w:val="22"/>
        </w:rPr>
        <w:t xml:space="preserve"> к настоящему Приложению. </w:t>
      </w:r>
      <w:r w:rsidR="00F044BB" w:rsidRPr="00F044BB">
        <w:rPr>
          <w:sz w:val="22"/>
          <w:szCs w:val="22"/>
        </w:rPr>
        <w:t>Клиент также подтверждает ознакомление с полными</w:t>
      </w:r>
      <w:r w:rsidRPr="00F044BB">
        <w:rPr>
          <w:sz w:val="22"/>
          <w:szCs w:val="22"/>
        </w:rPr>
        <w:t xml:space="preserve"> условия</w:t>
      </w:r>
      <w:r w:rsidR="00F044BB" w:rsidRPr="00F044BB">
        <w:rPr>
          <w:sz w:val="22"/>
          <w:szCs w:val="22"/>
        </w:rPr>
        <w:t>ми</w:t>
      </w:r>
      <w:r w:rsidRPr="00F044BB">
        <w:rPr>
          <w:sz w:val="22"/>
          <w:szCs w:val="22"/>
        </w:rPr>
        <w:t xml:space="preserve"> тарифов за обслуживание на финансовых рынках, </w:t>
      </w:r>
      <w:r w:rsidR="00F044BB" w:rsidRPr="00F044BB">
        <w:rPr>
          <w:sz w:val="22"/>
          <w:szCs w:val="22"/>
        </w:rPr>
        <w:t>указанными</w:t>
      </w:r>
      <w:r w:rsidRPr="00F044BB">
        <w:rPr>
          <w:sz w:val="22"/>
          <w:szCs w:val="22"/>
        </w:rPr>
        <w:t xml:space="preserve"> в </w:t>
      </w:r>
      <w:r w:rsidR="00F044BB" w:rsidRPr="00F044BB">
        <w:rPr>
          <w:sz w:val="22"/>
          <w:szCs w:val="22"/>
        </w:rPr>
        <w:t>Приложении</w:t>
      </w:r>
      <w:r w:rsidRPr="00F044BB">
        <w:rPr>
          <w:sz w:val="22"/>
          <w:szCs w:val="22"/>
        </w:rPr>
        <w:t xml:space="preserve"> №</w:t>
      </w:r>
      <w:r w:rsidR="00F254CF">
        <w:rPr>
          <w:sz w:val="22"/>
          <w:szCs w:val="22"/>
        </w:rPr>
        <w:t xml:space="preserve"> </w:t>
      </w:r>
      <w:r w:rsidRPr="00F044BB">
        <w:rPr>
          <w:sz w:val="22"/>
          <w:szCs w:val="22"/>
        </w:rPr>
        <w:t xml:space="preserve">3 к Регламенту. </w:t>
      </w:r>
      <w:r w:rsidR="00F35BF8">
        <w:rPr>
          <w:sz w:val="22"/>
          <w:szCs w:val="22"/>
        </w:rPr>
        <w:t>При этом маржинальные сделки заключаются в порядке раздела 20 Регламента, тарифы за которые изложены в Приложении №3 к Регламенту.</w:t>
      </w:r>
    </w:p>
    <w:p w:rsidR="008C0C36" w:rsidRPr="00F044BB" w:rsidRDefault="008C0C36" w:rsidP="00F044BB">
      <w:pPr>
        <w:rPr>
          <w:sz w:val="22"/>
          <w:szCs w:val="22"/>
        </w:rPr>
      </w:pPr>
    </w:p>
    <w:p w:rsidR="0004192D" w:rsidRDefault="0004192D" w:rsidP="00F044BB">
      <w:pPr>
        <w:rPr>
          <w:sz w:val="22"/>
          <w:szCs w:val="22"/>
        </w:rPr>
      </w:pPr>
    </w:p>
    <w:p w:rsidR="0021314F" w:rsidRPr="0021314F" w:rsidRDefault="0021314F" w:rsidP="00F044BB">
      <w:pPr>
        <w:pStyle w:val="aa"/>
        <w:numPr>
          <w:ilvl w:val="0"/>
          <w:numId w:val="14"/>
        </w:numPr>
        <w:rPr>
          <w:rFonts w:ascii="Times New Roman" w:hAnsi="Times New Roman"/>
          <w:b/>
          <w:sz w:val="22"/>
          <w:szCs w:val="22"/>
        </w:rPr>
      </w:pPr>
      <w:r w:rsidRPr="0021314F">
        <w:rPr>
          <w:rFonts w:ascii="Times New Roman" w:hAnsi="Times New Roman"/>
          <w:b/>
          <w:sz w:val="22"/>
          <w:szCs w:val="22"/>
        </w:rPr>
        <w:t xml:space="preserve">Порядок расторжения договора и способ </w:t>
      </w:r>
      <w:r w:rsidR="00403AB8">
        <w:rPr>
          <w:rFonts w:ascii="Times New Roman" w:hAnsi="Times New Roman"/>
          <w:b/>
          <w:sz w:val="22"/>
          <w:szCs w:val="22"/>
        </w:rPr>
        <w:t>урегулирования</w:t>
      </w:r>
      <w:r w:rsidR="00403AB8" w:rsidRPr="0021314F">
        <w:rPr>
          <w:rFonts w:ascii="Times New Roman" w:hAnsi="Times New Roman"/>
          <w:b/>
          <w:sz w:val="22"/>
          <w:szCs w:val="22"/>
        </w:rPr>
        <w:t xml:space="preserve"> </w:t>
      </w:r>
      <w:r w:rsidRPr="0021314F">
        <w:rPr>
          <w:rFonts w:ascii="Times New Roman" w:hAnsi="Times New Roman"/>
          <w:b/>
          <w:sz w:val="22"/>
          <w:szCs w:val="22"/>
        </w:rPr>
        <w:t xml:space="preserve">споров </w:t>
      </w:r>
    </w:p>
    <w:p w:rsidR="00C9755A" w:rsidRDefault="0021314F" w:rsidP="00C9755A">
      <w:pPr>
        <w:ind w:firstLine="709"/>
        <w:jc w:val="both"/>
      </w:pPr>
      <w:r>
        <w:t>Клиент вправе в любой момент в одностороннем порядке прекратить действие Договора об оказании услуг на финансовых рынках. Расторжение Клиентом Договора об оказании услуг на финансовых рынках производится путем письменного уведомления Банка об отказе от исполнения Договора об оказании услуг на финансовых рынках. Расторжение указанного договора не отменяет выполнение Клиентом всех, взятых на себя обязательств, возникших до даты расторжения Договора об оказании услуг на финансовых рынках, а также уплаты задолженности перед Банком.</w:t>
      </w:r>
      <w:r w:rsidR="00C9755A">
        <w:t xml:space="preserve"> </w:t>
      </w:r>
    </w:p>
    <w:p w:rsidR="00C9755A" w:rsidRDefault="00C9755A" w:rsidP="00C9755A">
      <w:pPr>
        <w:ind w:firstLine="709"/>
        <w:jc w:val="both"/>
      </w:pPr>
      <w:r>
        <w:t>При этом, не позднее 2 (двух) рабочих дней до даты прекращения действия Договора об оказании услуг на финансовых рынках Клиент обязан предоставить в Банк Поручение на отзыв денежных средств с Инвестиционного счета в порядке, определённом Регламентом.</w:t>
      </w:r>
    </w:p>
    <w:p w:rsidR="00C9755A" w:rsidRDefault="00C9755A" w:rsidP="00C522FB">
      <w:pPr>
        <w:ind w:firstLine="709"/>
        <w:jc w:val="both"/>
      </w:pPr>
      <w:r>
        <w:t xml:space="preserve">Расторжение Договора об оказании услуг на финансовых рынках может быть осуществлено Банком в одностороннем порядке, в случаях, предусмотренных разделом 29 Регламента. </w:t>
      </w:r>
    </w:p>
    <w:p w:rsidR="0021314F" w:rsidRDefault="0021314F" w:rsidP="00C522FB">
      <w:pPr>
        <w:ind w:firstLine="709"/>
        <w:jc w:val="both"/>
      </w:pPr>
    </w:p>
    <w:p w:rsidR="0021314F" w:rsidRDefault="00C9755A" w:rsidP="00C522FB">
      <w:pPr>
        <w:ind w:firstLine="709"/>
        <w:jc w:val="both"/>
      </w:pPr>
      <w:r>
        <w:t>Все споры между Банком и Клиентом разрешаются, прежде всего, в претензионном порядке. Претензия подлежит рассмотрению Банком в течение 30 рабочих дней с момента е</w:t>
      </w:r>
      <w:r w:rsidR="006144CA">
        <w:t xml:space="preserve">е получения.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 </w:t>
      </w:r>
      <w:r w:rsidR="0021314F">
        <w:t xml:space="preserve">Клиент ознакомлен с порядком разрешения споров, изложенным в разделе 28 Регламента. </w:t>
      </w:r>
    </w:p>
    <w:p w:rsidR="00C522FB" w:rsidRDefault="00C522FB" w:rsidP="00C522FB">
      <w:pPr>
        <w:ind w:firstLine="709"/>
        <w:jc w:val="both"/>
      </w:pPr>
    </w:p>
    <w:p w:rsidR="00C522FB" w:rsidRPr="00C522FB" w:rsidRDefault="00C522FB" w:rsidP="00C522FB">
      <w:pPr>
        <w:ind w:firstLine="709"/>
      </w:pPr>
      <w:r>
        <w:t>Адрес для направления корреспонденции</w:t>
      </w:r>
      <w:r w:rsidRPr="00C522FB">
        <w:t xml:space="preserve">: 123112, город Москва, 1-й Красногвардейский проезд, дом 15. </w:t>
      </w:r>
    </w:p>
    <w:p w:rsidR="00C522FB" w:rsidRPr="00C522FB" w:rsidRDefault="00C522FB" w:rsidP="00C522FB">
      <w:pPr>
        <w:ind w:firstLine="709"/>
      </w:pPr>
      <w:r>
        <w:t xml:space="preserve">Адрес электронной почты: </w:t>
      </w:r>
      <w:hyperlink r:id="rId6" w:history="1">
        <w:r w:rsidRPr="00D84440">
          <w:rPr>
            <w:rStyle w:val="af9"/>
          </w:rPr>
          <w:t>info@spbbank.ru</w:t>
        </w:r>
      </w:hyperlink>
      <w:r w:rsidR="00F254CF">
        <w:t>.</w:t>
      </w:r>
    </w:p>
    <w:p w:rsidR="00C522FB" w:rsidRDefault="00C522FB" w:rsidP="0041231D">
      <w:pPr>
        <w:ind w:firstLine="709"/>
        <w:jc w:val="both"/>
      </w:pPr>
      <w:r>
        <w:t xml:space="preserve">За дополнительной информацией можно обращаться в ПАО </w:t>
      </w:r>
      <w:r w:rsidR="00F254CF">
        <w:t>«</w:t>
      </w:r>
      <w:r>
        <w:t>СПБ Банк</w:t>
      </w:r>
      <w:r w:rsidR="00F254CF">
        <w:t>»</w:t>
      </w:r>
      <w:r>
        <w:t xml:space="preserve"> по телефону: +7 (495) 899-01-70.</w:t>
      </w:r>
    </w:p>
    <w:p w:rsidR="0041231D" w:rsidRDefault="0041231D" w:rsidP="0041231D">
      <w:pPr>
        <w:ind w:firstLine="709"/>
        <w:jc w:val="both"/>
      </w:pPr>
    </w:p>
    <w:p w:rsidR="0041231D" w:rsidRPr="0041231D" w:rsidRDefault="0041231D" w:rsidP="0041231D">
      <w:pPr>
        <w:ind w:firstLine="709"/>
        <w:jc w:val="both"/>
      </w:pPr>
    </w:p>
    <w:p w:rsidR="0004192D" w:rsidRPr="00F044BB" w:rsidRDefault="0004192D" w:rsidP="00F044BB">
      <w:pPr>
        <w:jc w:val="right"/>
        <w:rPr>
          <w:sz w:val="22"/>
          <w:szCs w:val="22"/>
        </w:rPr>
      </w:pPr>
      <w:r w:rsidRPr="00F044BB">
        <w:rPr>
          <w:sz w:val="22"/>
          <w:szCs w:val="22"/>
        </w:rPr>
        <w:t>_________________</w:t>
      </w:r>
    </w:p>
    <w:p w:rsidR="0004192D" w:rsidRPr="00F044BB" w:rsidRDefault="0004192D" w:rsidP="00F044BB">
      <w:pPr>
        <w:jc w:val="right"/>
        <w:rPr>
          <w:sz w:val="22"/>
          <w:szCs w:val="22"/>
        </w:rPr>
      </w:pPr>
    </w:p>
    <w:p w:rsidR="0004192D" w:rsidRPr="00F044BB" w:rsidRDefault="0004192D" w:rsidP="00F044BB">
      <w:pPr>
        <w:jc w:val="center"/>
        <w:rPr>
          <w:b/>
          <w:sz w:val="22"/>
          <w:szCs w:val="22"/>
        </w:rPr>
      </w:pPr>
      <w:r w:rsidRPr="00F044BB">
        <w:rPr>
          <w:b/>
          <w:sz w:val="22"/>
          <w:szCs w:val="22"/>
        </w:rPr>
        <w:t>Также настоящим подтверждаю, что уведомлен о нижеследующем:</w:t>
      </w:r>
    </w:p>
    <w:p w:rsidR="0004192D" w:rsidRPr="00F044BB" w:rsidRDefault="0004192D" w:rsidP="00F044BB">
      <w:pPr>
        <w:rPr>
          <w:b/>
          <w:sz w:val="22"/>
          <w:szCs w:val="22"/>
        </w:rPr>
      </w:pPr>
    </w:p>
    <w:p w:rsidR="00BD6E7C" w:rsidRDefault="00EB4D45" w:rsidP="00861E3B">
      <w:pPr>
        <w:ind w:firstLine="709"/>
        <w:jc w:val="both"/>
        <w:rPr>
          <w:sz w:val="22"/>
          <w:szCs w:val="22"/>
        </w:rPr>
      </w:pPr>
      <w:r>
        <w:rPr>
          <w:sz w:val="22"/>
          <w:szCs w:val="22"/>
        </w:rPr>
        <w:t xml:space="preserve">Совершая сделки с ценными бумагами и (или) иными финансовыми инструментами, я осознаю, что несу риск возможного </w:t>
      </w:r>
      <w:proofErr w:type="spellStart"/>
      <w:r>
        <w:rPr>
          <w:sz w:val="22"/>
          <w:szCs w:val="22"/>
        </w:rPr>
        <w:t>понесения</w:t>
      </w:r>
      <w:proofErr w:type="spellEnd"/>
      <w:r>
        <w:rPr>
          <w:sz w:val="22"/>
          <w:szCs w:val="22"/>
        </w:rPr>
        <w:t xml:space="preserve"> значительных убытков, включая полную потерю всех вложенных денежных средств и (или) ценных бумаг. Более того, совершая маржинальные и непокрытые сделки и (или) сделки с производными финансовыми инструментами, я осознаю, что помимо возможной потери вложенных денежных средств, я несу риск несения неограниченного </w:t>
      </w:r>
      <w:r>
        <w:rPr>
          <w:sz w:val="22"/>
          <w:szCs w:val="22"/>
        </w:rPr>
        <w:lastRenderedPageBreak/>
        <w:t xml:space="preserve">размера убытков, включая потенциальную возможность остаться должным Банку и (или) третьим лицам, в связи с заключением соответствующих сделок. </w:t>
      </w:r>
    </w:p>
    <w:p w:rsidR="00BD6E7C" w:rsidRDefault="00552D62" w:rsidP="00861E3B">
      <w:pPr>
        <w:ind w:firstLine="709"/>
        <w:jc w:val="both"/>
        <w:rPr>
          <w:sz w:val="22"/>
          <w:szCs w:val="22"/>
        </w:rPr>
      </w:pPr>
      <w:r>
        <w:rPr>
          <w:sz w:val="22"/>
          <w:szCs w:val="22"/>
        </w:rPr>
        <w:t>Подтверждаю полное ознакомление с декларацией о рисках, указанной в Приложении №</w:t>
      </w:r>
      <w:r w:rsidR="00F254CF">
        <w:rPr>
          <w:sz w:val="22"/>
          <w:szCs w:val="22"/>
        </w:rPr>
        <w:t xml:space="preserve"> </w:t>
      </w:r>
      <w:r>
        <w:rPr>
          <w:sz w:val="22"/>
          <w:szCs w:val="22"/>
        </w:rPr>
        <w:t>9 к Регламенту.</w:t>
      </w:r>
    </w:p>
    <w:p w:rsidR="00BD6E7C" w:rsidRDefault="00BD6E7C" w:rsidP="00861E3B">
      <w:pPr>
        <w:jc w:val="both"/>
        <w:rPr>
          <w:sz w:val="22"/>
          <w:szCs w:val="22"/>
        </w:rPr>
      </w:pPr>
    </w:p>
    <w:p w:rsidR="0004192D" w:rsidRDefault="0004192D" w:rsidP="00F044BB">
      <w:pPr>
        <w:jc w:val="right"/>
        <w:rPr>
          <w:sz w:val="22"/>
          <w:szCs w:val="22"/>
        </w:rPr>
      </w:pPr>
      <w:r w:rsidRPr="00F044BB">
        <w:rPr>
          <w:sz w:val="22"/>
          <w:szCs w:val="22"/>
        </w:rPr>
        <w:t>_________________</w:t>
      </w:r>
      <w:r w:rsidR="00683AD6">
        <w:rPr>
          <w:sz w:val="22"/>
          <w:szCs w:val="22"/>
        </w:rPr>
        <w:t>(ФИО)</w:t>
      </w:r>
    </w:p>
    <w:p w:rsidR="00683AD6" w:rsidRPr="00F044BB" w:rsidRDefault="00683AD6" w:rsidP="00F044BB">
      <w:pPr>
        <w:jc w:val="right"/>
        <w:rPr>
          <w:sz w:val="22"/>
          <w:szCs w:val="22"/>
        </w:rPr>
      </w:pPr>
    </w:p>
    <w:p w:rsidR="0004192D" w:rsidRPr="00F044BB" w:rsidRDefault="0004192D" w:rsidP="00F044BB">
      <w:pPr>
        <w:rPr>
          <w:sz w:val="22"/>
          <w:szCs w:val="22"/>
        </w:rPr>
      </w:pPr>
    </w:p>
    <w:p w:rsidR="00DE7861" w:rsidRPr="00F044BB" w:rsidRDefault="0041231D" w:rsidP="00F044BB">
      <w:pPr>
        <w:rPr>
          <w:sz w:val="22"/>
          <w:szCs w:val="22"/>
        </w:rPr>
      </w:pPr>
    </w:p>
    <w:p w:rsidR="00D77DC6" w:rsidRPr="00552D62" w:rsidRDefault="00D77DC6" w:rsidP="00F044BB">
      <w:pPr>
        <w:ind w:firstLine="2160"/>
        <w:rPr>
          <w:sz w:val="22"/>
          <w:szCs w:val="22"/>
        </w:rPr>
      </w:pPr>
    </w:p>
    <w:p w:rsidR="0021314F" w:rsidRPr="00552D62" w:rsidRDefault="0021314F" w:rsidP="00F044BB">
      <w:pPr>
        <w:ind w:firstLine="2160"/>
        <w:rPr>
          <w:sz w:val="22"/>
          <w:szCs w:val="22"/>
        </w:rPr>
      </w:pPr>
    </w:p>
    <w:p w:rsidR="0021314F" w:rsidRPr="00552D62" w:rsidRDefault="0021314F" w:rsidP="00F044BB">
      <w:pPr>
        <w:ind w:firstLine="2160"/>
        <w:rPr>
          <w:sz w:val="22"/>
          <w:szCs w:val="22"/>
        </w:rPr>
      </w:pPr>
    </w:p>
    <w:p w:rsidR="0021314F" w:rsidRPr="00552D62" w:rsidRDefault="0021314F" w:rsidP="00F044BB">
      <w:pPr>
        <w:ind w:firstLine="2160"/>
        <w:rPr>
          <w:sz w:val="22"/>
          <w:szCs w:val="22"/>
        </w:rPr>
      </w:pPr>
    </w:p>
    <w:p w:rsidR="0021314F" w:rsidRPr="00552D62" w:rsidRDefault="0021314F" w:rsidP="00F044BB">
      <w:pPr>
        <w:ind w:firstLine="2160"/>
        <w:rPr>
          <w:sz w:val="22"/>
          <w:szCs w:val="22"/>
        </w:rPr>
      </w:pPr>
    </w:p>
    <w:p w:rsidR="0021314F" w:rsidRDefault="0021314F" w:rsidP="00C522FB">
      <w:pPr>
        <w:rPr>
          <w:sz w:val="22"/>
          <w:szCs w:val="22"/>
        </w:rPr>
      </w:pPr>
      <w:bookmarkStart w:id="0" w:name="_GoBack"/>
      <w:bookmarkEnd w:id="0"/>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Default="006144CA" w:rsidP="00C522FB">
      <w:pPr>
        <w:rPr>
          <w:sz w:val="22"/>
          <w:szCs w:val="22"/>
        </w:rPr>
      </w:pPr>
    </w:p>
    <w:p w:rsidR="006144CA" w:rsidRPr="00F35BF8" w:rsidRDefault="006144CA" w:rsidP="00C522FB">
      <w:pPr>
        <w:rPr>
          <w:sz w:val="22"/>
          <w:szCs w:val="22"/>
        </w:rPr>
      </w:pPr>
    </w:p>
    <w:p w:rsidR="00861E3B" w:rsidRPr="00F35BF8" w:rsidRDefault="00861E3B" w:rsidP="00C522FB">
      <w:pPr>
        <w:rPr>
          <w:sz w:val="22"/>
          <w:szCs w:val="22"/>
        </w:rPr>
      </w:pPr>
    </w:p>
    <w:p w:rsidR="00552D62" w:rsidRPr="00C522FB" w:rsidRDefault="00552D62" w:rsidP="00C522FB">
      <w:pPr>
        <w:rPr>
          <w:sz w:val="22"/>
          <w:szCs w:val="22"/>
        </w:rPr>
      </w:pPr>
    </w:p>
    <w:p w:rsidR="0021314F" w:rsidRPr="00F044BB" w:rsidRDefault="0021314F" w:rsidP="0021314F">
      <w:pPr>
        <w:pStyle w:val="af5"/>
        <w:ind w:firstLine="2160"/>
        <w:jc w:val="right"/>
        <w:rPr>
          <w:i/>
          <w:sz w:val="22"/>
          <w:szCs w:val="22"/>
        </w:rPr>
      </w:pPr>
      <w:r w:rsidRPr="00F044BB">
        <w:rPr>
          <w:i/>
          <w:sz w:val="22"/>
          <w:szCs w:val="22"/>
        </w:rPr>
        <w:lastRenderedPageBreak/>
        <w:t xml:space="preserve">Приложение </w:t>
      </w:r>
      <w:r w:rsidR="00472DC3">
        <w:rPr>
          <w:i/>
          <w:sz w:val="22"/>
          <w:szCs w:val="22"/>
        </w:rPr>
        <w:t xml:space="preserve">№ 1 </w:t>
      </w:r>
      <w:r>
        <w:rPr>
          <w:i/>
          <w:sz w:val="22"/>
          <w:szCs w:val="22"/>
        </w:rPr>
        <w:t xml:space="preserve">к Приложению </w:t>
      </w:r>
      <w:r w:rsidRPr="00F044BB">
        <w:rPr>
          <w:i/>
          <w:sz w:val="22"/>
          <w:szCs w:val="22"/>
        </w:rPr>
        <w:t>№ 1а</w:t>
      </w:r>
    </w:p>
    <w:p w:rsidR="0021314F" w:rsidRPr="00F044BB" w:rsidRDefault="0021314F" w:rsidP="0021314F">
      <w:pPr>
        <w:ind w:firstLine="2160"/>
        <w:jc w:val="right"/>
        <w:rPr>
          <w:i/>
          <w:iCs/>
          <w:sz w:val="22"/>
          <w:szCs w:val="22"/>
        </w:rPr>
      </w:pPr>
      <w:r w:rsidRPr="00F044BB">
        <w:rPr>
          <w:i/>
          <w:iCs/>
          <w:sz w:val="22"/>
          <w:szCs w:val="22"/>
        </w:rPr>
        <w:t>к  Регламенту оказания услуг на финансовых рынках для физических лиц</w:t>
      </w:r>
    </w:p>
    <w:p w:rsidR="0021314F" w:rsidRPr="0021314F" w:rsidRDefault="0021314F" w:rsidP="0021314F">
      <w:pPr>
        <w:ind w:firstLine="2160"/>
        <w:jc w:val="right"/>
        <w:rPr>
          <w:sz w:val="22"/>
          <w:szCs w:val="22"/>
        </w:rPr>
      </w:pPr>
    </w:p>
    <w:tbl>
      <w:tblPr>
        <w:tblW w:w="8662" w:type="dxa"/>
        <w:tblInd w:w="93" w:type="dxa"/>
        <w:tblLayout w:type="fixed"/>
        <w:tblLook w:val="04A0" w:firstRow="1" w:lastRow="0" w:firstColumn="1" w:lastColumn="0" w:noHBand="0" w:noVBand="1"/>
      </w:tblPr>
      <w:tblGrid>
        <w:gridCol w:w="1008"/>
        <w:gridCol w:w="992"/>
        <w:gridCol w:w="1276"/>
        <w:gridCol w:w="1842"/>
        <w:gridCol w:w="1985"/>
        <w:gridCol w:w="1559"/>
      </w:tblGrid>
      <w:tr w:rsidR="0021314F" w:rsidRPr="008C20F5" w:rsidTr="0021314F">
        <w:trPr>
          <w:trHeight w:val="49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1314F" w:rsidRPr="008C20F5" w:rsidRDefault="0021314F" w:rsidP="00EB76DB">
            <w:pPr>
              <w:jc w:val="center"/>
              <w:rPr>
                <w:b/>
                <w:bCs/>
                <w:color w:val="000000"/>
              </w:rPr>
            </w:pPr>
            <w:r w:rsidRPr="008C20F5">
              <w:rPr>
                <w:b/>
                <w:bCs/>
                <w:color w:val="000000"/>
              </w:rPr>
              <w:t xml:space="preserve">Тарифные планы SPB </w:t>
            </w:r>
            <w:proofErr w:type="spellStart"/>
            <w:r w:rsidRPr="008C20F5">
              <w:rPr>
                <w:b/>
                <w:bCs/>
                <w:color w:val="000000"/>
              </w:rPr>
              <w:t>Bank</w:t>
            </w:r>
            <w:proofErr w:type="spellEnd"/>
          </w:p>
        </w:tc>
      </w:tr>
      <w:tr w:rsidR="0021314F" w:rsidRPr="008C20F5" w:rsidTr="0021314F">
        <w:trPr>
          <w:trHeight w:val="12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Рынок</w:t>
            </w:r>
          </w:p>
        </w:tc>
        <w:tc>
          <w:tcPr>
            <w:tcW w:w="99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Биржа</w:t>
            </w:r>
          </w:p>
        </w:tc>
        <w:tc>
          <w:tcPr>
            <w:tcW w:w="1276"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Тариф</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Инструмент</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 от оборота</w:t>
            </w:r>
          </w:p>
        </w:tc>
        <w:tc>
          <w:tcPr>
            <w:tcW w:w="1559"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Ежемесячная комиссия</w:t>
            </w:r>
          </w:p>
        </w:tc>
      </w:tr>
      <w:tr w:rsidR="0021314F" w:rsidRPr="008C20F5" w:rsidTr="0021314F">
        <w:trPr>
          <w:trHeight w:val="330"/>
        </w:trPr>
        <w:tc>
          <w:tcPr>
            <w:tcW w:w="10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314F" w:rsidRPr="008C20F5" w:rsidRDefault="0021314F" w:rsidP="00EB76DB">
            <w:pPr>
              <w:jc w:val="center"/>
              <w:rPr>
                <w:b/>
                <w:bCs/>
                <w:color w:val="000000"/>
              </w:rPr>
            </w:pPr>
            <w:r w:rsidRPr="008C20F5">
              <w:rPr>
                <w:b/>
                <w:bCs/>
                <w:color w:val="000000"/>
              </w:rPr>
              <w:t xml:space="preserve">Фондовый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СПБ Биржа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Фондовый базовый*</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Иностранные акции</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Еврооблигации</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0,015%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РЦБ</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Облигации</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0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proofErr w:type="spellStart"/>
            <w:r w:rsidRPr="008C20F5">
              <w:rPr>
                <w:b/>
                <w:bCs/>
                <w:color w:val="000000"/>
              </w:rPr>
              <w:t>Репо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0,0006%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6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Фондовый профессионал*</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Иностранные акции</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0,045%</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50 000 руб.</w:t>
            </w:r>
          </w:p>
        </w:tc>
      </w:tr>
      <w:tr w:rsidR="0021314F" w:rsidRPr="008C20F5" w:rsidTr="0021314F">
        <w:trPr>
          <w:trHeight w:val="34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Гонконг</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0,055%</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0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Еврооблигации</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 xml:space="preserve">Российские акции </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0,01%</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proofErr w:type="spellStart"/>
            <w:r w:rsidRPr="008C20F5">
              <w:rPr>
                <w:b/>
                <w:bCs/>
                <w:color w:val="000000"/>
              </w:rPr>
              <w:t>Репо</w:t>
            </w:r>
            <w:proofErr w:type="spellEnd"/>
            <w:r w:rsidRPr="008C20F5">
              <w:rPr>
                <w:b/>
                <w:bCs/>
                <w:color w:val="00000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0,0003%</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5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Облигации</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0,01%</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123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314F" w:rsidRPr="008C20F5" w:rsidRDefault="0021314F" w:rsidP="00EB76DB">
            <w:pPr>
              <w:jc w:val="center"/>
              <w:rPr>
                <w:b/>
                <w:bCs/>
                <w:color w:val="000000"/>
              </w:rPr>
            </w:pPr>
            <w:r w:rsidRPr="008C20F5">
              <w:rPr>
                <w:b/>
                <w:bCs/>
                <w:color w:val="000000"/>
              </w:rPr>
              <w:t xml:space="preserve">Московская биржа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Фондовый профессионал**</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Российские акции, облигации, еврооблигации в режиме основных торгов</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169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Российские акции, облигации, еврооблигации в остальных режимах</w:t>
            </w:r>
            <w:r w:rsidR="00472DC3">
              <w:rPr>
                <w:b/>
                <w:bCs/>
                <w:color w:val="000000"/>
              </w:rPr>
              <w:t>,</w:t>
            </w:r>
            <w:r w:rsidRPr="008C20F5">
              <w:rPr>
                <w:b/>
                <w:bCs/>
                <w:color w:val="000000"/>
              </w:rPr>
              <w:t xml:space="preserve"> в том числе в адресных режимах</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6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proofErr w:type="spellStart"/>
            <w:r w:rsidRPr="008C20F5">
              <w:rPr>
                <w:b/>
                <w:bCs/>
                <w:color w:val="000000"/>
              </w:rPr>
              <w:t>Репо</w:t>
            </w:r>
            <w:proofErr w:type="spellEnd"/>
            <w:r w:rsidRPr="008C20F5">
              <w:rPr>
                <w:b/>
                <w:bCs/>
                <w:color w:val="000000"/>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 xml:space="preserve">0,0002438 % </w:t>
            </w: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9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Фондовый базовый*</w:t>
            </w: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 xml:space="preserve">Российские акции </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34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Облигации, еврооблигации</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0,035%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51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proofErr w:type="spellStart"/>
            <w:r w:rsidRPr="008C20F5">
              <w:rPr>
                <w:b/>
                <w:bCs/>
                <w:color w:val="000000"/>
              </w:rPr>
              <w:t>Репо</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0,00106%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20"/>
        </w:trPr>
        <w:tc>
          <w:tcPr>
            <w:tcW w:w="10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314F" w:rsidRPr="008C20F5" w:rsidRDefault="0021314F" w:rsidP="00EB76DB">
            <w:pPr>
              <w:jc w:val="center"/>
              <w:rPr>
                <w:b/>
                <w:bCs/>
                <w:color w:val="000000"/>
              </w:rPr>
            </w:pPr>
            <w:r w:rsidRPr="008C20F5">
              <w:rPr>
                <w:b/>
                <w:bCs/>
                <w:color w:val="000000"/>
              </w:rPr>
              <w:t xml:space="preserve">Валютный </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Валютный базовый*</w:t>
            </w: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Валюта</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42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Своп</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0,0012%</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2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Внебиржевая валюта</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Внебиржевой своп</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0,001%</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9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 xml:space="preserve">Валютный </w:t>
            </w:r>
            <w:r w:rsidRPr="008C20F5">
              <w:rPr>
                <w:b/>
                <w:bCs/>
                <w:color w:val="000000"/>
              </w:rPr>
              <w:lastRenderedPageBreak/>
              <w:t>профессионал*</w:t>
            </w: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lastRenderedPageBreak/>
              <w:t>Валюта</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0,0045%</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150 000 руб.</w:t>
            </w:r>
          </w:p>
        </w:tc>
      </w:tr>
      <w:tr w:rsidR="0021314F" w:rsidRPr="008C20F5" w:rsidTr="0021314F">
        <w:trPr>
          <w:trHeight w:val="39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Своп</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0,00065%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9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Внебиржевая валюта</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0,005%</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5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Внебиржевой своп</w:t>
            </w:r>
          </w:p>
        </w:tc>
        <w:tc>
          <w:tcPr>
            <w:tcW w:w="1985"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0,001%</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450"/>
        </w:trPr>
        <w:tc>
          <w:tcPr>
            <w:tcW w:w="100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314F" w:rsidRPr="008C20F5" w:rsidRDefault="0021314F" w:rsidP="00EB76DB">
            <w:pPr>
              <w:jc w:val="center"/>
              <w:rPr>
                <w:b/>
                <w:bCs/>
                <w:color w:val="000000"/>
              </w:rPr>
            </w:pPr>
            <w:r w:rsidRPr="008C20F5">
              <w:rPr>
                <w:b/>
                <w:bCs/>
                <w:color w:val="000000"/>
              </w:rPr>
              <w:t>Срочный</w:t>
            </w: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Срочный базовый фьючерсы*</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валютные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0,00924%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30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процентные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0,033%</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0,0396%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00"/>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индексные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0,0132%</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товарные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0,0264%</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Срочный базовый опционы*</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валютные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0,01848%</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процентные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0,066%</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фондовые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0,0792%</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31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индексные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0,0264%</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55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товарные контракты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0,0528%</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r>
      <w:tr w:rsidR="0021314F" w:rsidRPr="008C20F5" w:rsidTr="0021314F">
        <w:trPr>
          <w:trHeight w:val="1035"/>
        </w:trPr>
        <w:tc>
          <w:tcPr>
            <w:tcW w:w="1008"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Срочный фиксированный**</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Производные финансовые инструменты</w:t>
            </w:r>
          </w:p>
        </w:tc>
        <w:tc>
          <w:tcPr>
            <w:tcW w:w="1985"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50 000 руб.</w:t>
            </w:r>
          </w:p>
        </w:tc>
      </w:tr>
      <w:tr w:rsidR="0021314F" w:rsidRPr="008C20F5" w:rsidTr="0021314F">
        <w:trPr>
          <w:trHeight w:val="2145"/>
        </w:trPr>
        <w:tc>
          <w:tcPr>
            <w:tcW w:w="2000" w:type="dxa"/>
            <w:gridSpan w:val="2"/>
            <w:tcBorders>
              <w:top w:val="nil"/>
              <w:left w:val="nil"/>
              <w:bottom w:val="single" w:sz="4" w:space="0" w:color="auto"/>
              <w:right w:val="nil"/>
            </w:tcBorders>
            <w:shd w:val="clear" w:color="auto" w:fill="auto"/>
            <w:vAlign w:val="center"/>
            <w:hideMark/>
          </w:tcPr>
          <w:p w:rsidR="0021314F" w:rsidRPr="008C20F5" w:rsidRDefault="0021314F" w:rsidP="00EB76DB">
            <w:pPr>
              <w:jc w:val="center"/>
              <w:rPr>
                <w:b/>
                <w:bCs/>
                <w:color w:val="000000"/>
              </w:rPr>
            </w:pPr>
            <w:r w:rsidRPr="008C20F5">
              <w:rPr>
                <w:b/>
                <w:bCs/>
                <w:color w:val="000000"/>
              </w:rPr>
              <w:t>Внебиржевой</w:t>
            </w:r>
          </w:p>
        </w:tc>
        <w:tc>
          <w:tcPr>
            <w:tcW w:w="1276"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Внебиржевой**</w:t>
            </w:r>
          </w:p>
        </w:tc>
        <w:tc>
          <w:tcPr>
            <w:tcW w:w="1842" w:type="dxa"/>
            <w:tcBorders>
              <w:top w:val="nil"/>
              <w:left w:val="nil"/>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Акции, Облигации, АДР, ГДР, Паи, (ETF), РЕПО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b/>
                <w:bCs/>
                <w:color w:val="000000"/>
              </w:rPr>
            </w:pPr>
            <w:r w:rsidRPr="008C20F5">
              <w:rPr>
                <w:b/>
                <w:bCs/>
                <w:color w:val="000000"/>
              </w:rPr>
              <w:t>0,05%</w:t>
            </w:r>
            <w:r w:rsidR="00472DC3">
              <w:rPr>
                <w:b/>
                <w:bCs/>
                <w:color w:val="000000"/>
              </w:rPr>
              <w:t>,</w:t>
            </w:r>
            <w:r w:rsidRPr="008C20F5">
              <w:rPr>
                <w:b/>
                <w:bCs/>
                <w:color w:val="000000"/>
              </w:rPr>
              <w:t xml:space="preserve"> но не менее 5 000 рублей и не более 30 000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21314F" w:rsidRPr="008C20F5" w:rsidRDefault="0021314F" w:rsidP="00EB76DB">
            <w:pPr>
              <w:jc w:val="center"/>
              <w:rPr>
                <w:b/>
                <w:bCs/>
                <w:color w:val="000000"/>
              </w:rPr>
            </w:pPr>
            <w:r w:rsidRPr="008C20F5">
              <w:rPr>
                <w:b/>
                <w:bCs/>
                <w:color w:val="000000"/>
              </w:rPr>
              <w:t>нет</w:t>
            </w:r>
          </w:p>
        </w:tc>
      </w:tr>
      <w:tr w:rsidR="0021314F" w:rsidRPr="008C20F5" w:rsidTr="0021314F">
        <w:trPr>
          <w:trHeight w:val="300"/>
        </w:trPr>
        <w:tc>
          <w:tcPr>
            <w:tcW w:w="8662"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color w:val="000000"/>
              </w:rPr>
            </w:pPr>
            <w:r w:rsidRPr="008C20F5">
              <w:rPr>
                <w:color w:val="000000"/>
              </w:rPr>
              <w:t>* Тариф поглощающий включает комиссию биржи.</w:t>
            </w:r>
          </w:p>
        </w:tc>
      </w:tr>
      <w:tr w:rsidR="0021314F" w:rsidRPr="008C20F5" w:rsidTr="0021314F">
        <w:trPr>
          <w:trHeight w:val="269"/>
        </w:trPr>
        <w:tc>
          <w:tcPr>
            <w:tcW w:w="8662" w:type="dxa"/>
            <w:gridSpan w:val="6"/>
            <w:vMerge/>
            <w:tcBorders>
              <w:top w:val="nil"/>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color w:val="000000"/>
              </w:rPr>
            </w:pPr>
          </w:p>
        </w:tc>
      </w:tr>
      <w:tr w:rsidR="0021314F" w:rsidRPr="008C20F5" w:rsidTr="0021314F">
        <w:trPr>
          <w:trHeight w:val="300"/>
        </w:trPr>
        <w:tc>
          <w:tcPr>
            <w:tcW w:w="86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jc w:val="center"/>
              <w:rPr>
                <w:color w:val="000000"/>
              </w:rPr>
            </w:pPr>
            <w:r w:rsidRPr="008C20F5">
              <w:rPr>
                <w:color w:val="000000"/>
              </w:rPr>
              <w:t>** Все комиссии и сборы, взимаемые третьими лицами с Банка</w:t>
            </w:r>
            <w:r w:rsidR="00472DC3">
              <w:rPr>
                <w:color w:val="000000"/>
              </w:rPr>
              <w:t>,</w:t>
            </w:r>
            <w:r w:rsidRPr="008C20F5">
              <w:rPr>
                <w:color w:val="000000"/>
              </w:rPr>
              <w:t xml:space="preserve"> подлежат возмещению клиентом.</w:t>
            </w:r>
          </w:p>
        </w:tc>
      </w:tr>
      <w:tr w:rsidR="0021314F" w:rsidRPr="008C20F5" w:rsidTr="0021314F">
        <w:trPr>
          <w:trHeight w:val="269"/>
        </w:trPr>
        <w:tc>
          <w:tcPr>
            <w:tcW w:w="8662"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314F" w:rsidRPr="008C20F5" w:rsidRDefault="0021314F" w:rsidP="00EB76DB">
            <w:pPr>
              <w:rPr>
                <w:color w:val="000000"/>
              </w:rPr>
            </w:pPr>
          </w:p>
        </w:tc>
      </w:tr>
      <w:tr w:rsidR="0021314F" w:rsidRPr="008C20F5" w:rsidTr="0021314F">
        <w:trPr>
          <w:trHeight w:val="37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1314F" w:rsidRPr="008C20F5" w:rsidRDefault="0021314F" w:rsidP="00EB76DB">
            <w:pPr>
              <w:jc w:val="center"/>
              <w:rPr>
                <w:color w:val="000000"/>
              </w:rPr>
            </w:pPr>
            <w:r w:rsidRPr="008C20F5">
              <w:rPr>
                <w:color w:val="000000"/>
              </w:rPr>
              <w:t>Важно:</w:t>
            </w:r>
          </w:p>
        </w:tc>
      </w:tr>
      <w:tr w:rsidR="0021314F" w:rsidRPr="008C20F5" w:rsidTr="0021314F">
        <w:trPr>
          <w:trHeight w:val="1815"/>
        </w:trPr>
        <w:tc>
          <w:tcPr>
            <w:tcW w:w="866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1314F" w:rsidRPr="008C20F5" w:rsidRDefault="0021314F" w:rsidP="00CF40CB">
            <w:pPr>
              <w:jc w:val="both"/>
              <w:rPr>
                <w:color w:val="000000"/>
              </w:rPr>
            </w:pPr>
            <w:r w:rsidRPr="008C20F5">
              <w:rPr>
                <w:color w:val="000000"/>
              </w:rPr>
              <w:t>Банк взимает с Клиента комиссию в размере 10 000 рублей в месяц при возникновении одного из двух условий (далее – Условия минимальной комиссии):</w:t>
            </w:r>
            <w:r w:rsidRPr="008C20F5">
              <w:rPr>
                <w:color w:val="000000"/>
              </w:rPr>
              <w:br/>
              <w:t xml:space="preserve">- если среднемесячные остатки денежных средств на Инвестиционных счетах Клиента³ в российских рублях составляют менее 1 млн. рублей </w:t>
            </w:r>
            <w:r w:rsidRPr="008C20F5">
              <w:rPr>
                <w:color w:val="000000"/>
              </w:rPr>
              <w:br/>
              <w:t>- суммарный оборот по заключенным Договорам (за исключением Договоров РЕПО/ Договоров своп) на фондовом и валютном биржевом/внебиржевом рынках составляет менее 50 000 000 рублей в месяц (или эквивалент этой суммы).</w:t>
            </w:r>
          </w:p>
        </w:tc>
      </w:tr>
    </w:tbl>
    <w:p w:rsidR="0021314F" w:rsidRPr="0021314F" w:rsidRDefault="0021314F" w:rsidP="00F044BB">
      <w:pPr>
        <w:ind w:firstLine="2160"/>
        <w:rPr>
          <w:sz w:val="22"/>
          <w:szCs w:val="22"/>
        </w:rPr>
      </w:pPr>
    </w:p>
    <w:sectPr w:rsidR="0021314F" w:rsidRPr="0021314F" w:rsidSect="00154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E64C7F"/>
    <w:multiLevelType w:val="hybridMultilevel"/>
    <w:tmpl w:val="BFBC3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3">
    <w:nsid w:val="16736EBE"/>
    <w:multiLevelType w:val="hybridMultilevel"/>
    <w:tmpl w:val="848A0E7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2D5724F3"/>
    <w:multiLevelType w:val="hybridMultilevel"/>
    <w:tmpl w:val="8D6AA0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338283F"/>
    <w:multiLevelType w:val="hybridMultilevel"/>
    <w:tmpl w:val="8C2A8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130420"/>
    <w:multiLevelType w:val="hybridMultilevel"/>
    <w:tmpl w:val="F4A4E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2C142C"/>
    <w:multiLevelType w:val="hybridMultilevel"/>
    <w:tmpl w:val="70DADC2A"/>
    <w:lvl w:ilvl="0" w:tplc="82CC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BF33D9"/>
    <w:multiLevelType w:val="hybridMultilevel"/>
    <w:tmpl w:val="771C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E9A6291"/>
    <w:multiLevelType w:val="hybridMultilevel"/>
    <w:tmpl w:val="1D1E5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330C0"/>
    <w:multiLevelType w:val="hybridMultilevel"/>
    <w:tmpl w:val="C5C81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7B3EC6"/>
    <w:multiLevelType w:val="hybridMultilevel"/>
    <w:tmpl w:val="A0706DE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1"/>
  </w:num>
  <w:num w:numId="5">
    <w:abstractNumId w:val="1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1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2D"/>
    <w:rsid w:val="0004192D"/>
    <w:rsid w:val="00093DF9"/>
    <w:rsid w:val="000D1F48"/>
    <w:rsid w:val="00154E4B"/>
    <w:rsid w:val="001B6EA3"/>
    <w:rsid w:val="001F65CE"/>
    <w:rsid w:val="0021314F"/>
    <w:rsid w:val="002622F2"/>
    <w:rsid w:val="00275079"/>
    <w:rsid w:val="002A4916"/>
    <w:rsid w:val="00403AB8"/>
    <w:rsid w:val="0041231D"/>
    <w:rsid w:val="00452A4C"/>
    <w:rsid w:val="00472DC3"/>
    <w:rsid w:val="004C0888"/>
    <w:rsid w:val="00552D62"/>
    <w:rsid w:val="005C6F2B"/>
    <w:rsid w:val="006144CA"/>
    <w:rsid w:val="00637D1C"/>
    <w:rsid w:val="00683AD6"/>
    <w:rsid w:val="006D29DD"/>
    <w:rsid w:val="006F0654"/>
    <w:rsid w:val="007B3DA3"/>
    <w:rsid w:val="007F5C56"/>
    <w:rsid w:val="00861E3B"/>
    <w:rsid w:val="008C0C36"/>
    <w:rsid w:val="008E4F33"/>
    <w:rsid w:val="00975066"/>
    <w:rsid w:val="00B44215"/>
    <w:rsid w:val="00BD6E7C"/>
    <w:rsid w:val="00C338D1"/>
    <w:rsid w:val="00C40087"/>
    <w:rsid w:val="00C522FB"/>
    <w:rsid w:val="00C9755A"/>
    <w:rsid w:val="00CF40CB"/>
    <w:rsid w:val="00CF4C54"/>
    <w:rsid w:val="00D5346B"/>
    <w:rsid w:val="00D77DC6"/>
    <w:rsid w:val="00DE17C5"/>
    <w:rsid w:val="00EB4D45"/>
    <w:rsid w:val="00ED5C27"/>
    <w:rsid w:val="00F044BB"/>
    <w:rsid w:val="00F254CF"/>
    <w:rsid w:val="00F35BF8"/>
    <w:rsid w:val="00FE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D"/>
    <w:rPr>
      <w:lang w:eastAsia="ru-RU"/>
    </w:rPr>
  </w:style>
  <w:style w:type="paragraph" w:styleId="1">
    <w:name w:val="heading 1"/>
    <w:basedOn w:val="a"/>
    <w:next w:val="a"/>
    <w:link w:val="10"/>
    <w:qFormat/>
    <w:rsid w:val="00093DF9"/>
    <w:pPr>
      <w:keepNext/>
      <w:widowControl w:val="0"/>
      <w:ind w:left="360"/>
      <w:outlineLvl w:val="0"/>
    </w:pPr>
    <w:rPr>
      <w:rFonts w:eastAsiaTheme="majorEastAsia"/>
      <w:b/>
      <w:sz w:val="32"/>
      <w:szCs w:val="24"/>
    </w:rPr>
  </w:style>
  <w:style w:type="paragraph" w:styleId="2">
    <w:name w:val="heading 2"/>
    <w:aliases w:val="Sub heading"/>
    <w:basedOn w:val="a"/>
    <w:next w:val="a"/>
    <w:link w:val="20"/>
    <w:qFormat/>
    <w:rsid w:val="00093DF9"/>
    <w:pPr>
      <w:keepNext/>
      <w:widowControl w:val="0"/>
      <w:numPr>
        <w:ilvl w:val="1"/>
        <w:numId w:val="1"/>
      </w:numPr>
      <w:outlineLvl w:val="1"/>
    </w:pPr>
    <w:rPr>
      <w:rFonts w:eastAsiaTheme="majorEastAsia"/>
      <w:sz w:val="24"/>
    </w:rPr>
  </w:style>
  <w:style w:type="paragraph" w:styleId="3">
    <w:name w:val="heading 3"/>
    <w:basedOn w:val="a"/>
    <w:next w:val="a"/>
    <w:link w:val="30"/>
    <w:qFormat/>
    <w:rsid w:val="00093DF9"/>
    <w:pPr>
      <w:keepNext/>
      <w:widowControl w:val="0"/>
      <w:numPr>
        <w:ilvl w:val="2"/>
        <w:numId w:val="2"/>
      </w:numPr>
      <w:spacing w:before="240"/>
      <w:jc w:val="center"/>
      <w:outlineLvl w:val="2"/>
    </w:pPr>
    <w:rPr>
      <w:rFonts w:eastAsiaTheme="majorEastAsia"/>
      <w:i/>
      <w:sz w:val="22"/>
    </w:rPr>
  </w:style>
  <w:style w:type="paragraph" w:styleId="4">
    <w:name w:val="heading 4"/>
    <w:basedOn w:val="a"/>
    <w:next w:val="a"/>
    <w:link w:val="40"/>
    <w:qFormat/>
    <w:rsid w:val="00093DF9"/>
    <w:pPr>
      <w:keepNext/>
      <w:jc w:val="right"/>
      <w:outlineLvl w:val="3"/>
    </w:pPr>
    <w:rPr>
      <w:b/>
      <w:i/>
      <w:sz w:val="24"/>
      <w:szCs w:val="24"/>
    </w:rPr>
  </w:style>
  <w:style w:type="paragraph" w:styleId="5">
    <w:name w:val="heading 5"/>
    <w:basedOn w:val="a"/>
    <w:next w:val="a"/>
    <w:link w:val="50"/>
    <w:qFormat/>
    <w:rsid w:val="00093DF9"/>
    <w:pPr>
      <w:keepNext/>
      <w:jc w:val="center"/>
      <w:outlineLvl w:val="4"/>
    </w:pPr>
    <w:rPr>
      <w:b/>
      <w:i/>
      <w:sz w:val="24"/>
    </w:rPr>
  </w:style>
  <w:style w:type="paragraph" w:styleId="6">
    <w:name w:val="heading 6"/>
    <w:basedOn w:val="a"/>
    <w:next w:val="a"/>
    <w:link w:val="60"/>
    <w:qFormat/>
    <w:rsid w:val="00093DF9"/>
    <w:pPr>
      <w:keepNext/>
      <w:widowControl w:val="0"/>
      <w:numPr>
        <w:ilvl w:val="5"/>
        <w:numId w:val="3"/>
      </w:numPr>
      <w:spacing w:line="560" w:lineRule="exact"/>
      <w:ind w:right="-58"/>
      <w:outlineLvl w:val="5"/>
    </w:pPr>
    <w:rPr>
      <w:b/>
      <w:snapToGrid w:val="0"/>
      <w:sz w:val="22"/>
    </w:rPr>
  </w:style>
  <w:style w:type="paragraph" w:styleId="7">
    <w:name w:val="heading 7"/>
    <w:basedOn w:val="a"/>
    <w:next w:val="a"/>
    <w:link w:val="70"/>
    <w:qFormat/>
    <w:rsid w:val="00093DF9"/>
    <w:pPr>
      <w:keepNext/>
      <w:outlineLvl w:val="6"/>
    </w:pPr>
    <w:rPr>
      <w:i/>
      <w:iCs/>
      <w:szCs w:val="24"/>
    </w:rPr>
  </w:style>
  <w:style w:type="paragraph" w:styleId="8">
    <w:name w:val="heading 8"/>
    <w:basedOn w:val="a"/>
    <w:next w:val="a"/>
    <w:link w:val="80"/>
    <w:semiHidden/>
    <w:unhideWhenUsed/>
    <w:qFormat/>
    <w:rsid w:val="000D1F4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0D1F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5 ТЕКСТ ДОКУМЕНТА"/>
    <w:link w:val="050"/>
    <w:qFormat/>
    <w:rsid w:val="00093DF9"/>
    <w:pPr>
      <w:spacing w:after="283"/>
      <w:ind w:firstLine="284"/>
    </w:pPr>
    <w:rPr>
      <w:rFonts w:ascii="Arial" w:eastAsia="Calibri" w:hAnsi="Arial" w:cs="Arial"/>
      <w:szCs w:val="22"/>
    </w:rPr>
  </w:style>
  <w:style w:type="character" w:customStyle="1" w:styleId="050">
    <w:name w:val="05 ТЕКСТ ДОКУМЕНТА Знак"/>
    <w:link w:val="05"/>
    <w:rsid w:val="00093DF9"/>
    <w:rPr>
      <w:rFonts w:ascii="Arial" w:eastAsia="Calibri" w:hAnsi="Arial" w:cs="Arial"/>
      <w:szCs w:val="22"/>
    </w:rPr>
  </w:style>
  <w:style w:type="character" w:customStyle="1" w:styleId="10">
    <w:name w:val="Заголовок 1 Знак"/>
    <w:link w:val="1"/>
    <w:rsid w:val="00093DF9"/>
    <w:rPr>
      <w:rFonts w:eastAsiaTheme="majorEastAsia"/>
      <w:b/>
      <w:sz w:val="32"/>
      <w:szCs w:val="24"/>
    </w:rPr>
  </w:style>
  <w:style w:type="character" w:customStyle="1" w:styleId="20">
    <w:name w:val="Заголовок 2 Знак"/>
    <w:aliases w:val="Sub heading Знак"/>
    <w:basedOn w:val="a0"/>
    <w:link w:val="2"/>
    <w:rsid w:val="000D1F48"/>
    <w:rPr>
      <w:rFonts w:eastAsiaTheme="majorEastAsia"/>
      <w:sz w:val="24"/>
    </w:rPr>
  </w:style>
  <w:style w:type="character" w:customStyle="1" w:styleId="30">
    <w:name w:val="Заголовок 3 Знак"/>
    <w:link w:val="3"/>
    <w:rsid w:val="00093DF9"/>
    <w:rPr>
      <w:rFonts w:eastAsiaTheme="majorEastAsia"/>
      <w:i/>
      <w:sz w:val="22"/>
    </w:rPr>
  </w:style>
  <w:style w:type="character" w:customStyle="1" w:styleId="40">
    <w:name w:val="Заголовок 4 Знак"/>
    <w:basedOn w:val="a0"/>
    <w:link w:val="4"/>
    <w:rsid w:val="000D1F48"/>
    <w:rPr>
      <w:b/>
      <w:i/>
      <w:sz w:val="24"/>
      <w:szCs w:val="24"/>
    </w:rPr>
  </w:style>
  <w:style w:type="character" w:customStyle="1" w:styleId="50">
    <w:name w:val="Заголовок 5 Знак"/>
    <w:basedOn w:val="a0"/>
    <w:link w:val="5"/>
    <w:rsid w:val="000D1F48"/>
    <w:rPr>
      <w:b/>
      <w:i/>
      <w:sz w:val="24"/>
    </w:rPr>
  </w:style>
  <w:style w:type="character" w:customStyle="1" w:styleId="60">
    <w:name w:val="Заголовок 6 Знак"/>
    <w:link w:val="6"/>
    <w:rsid w:val="00093DF9"/>
    <w:rPr>
      <w:b/>
      <w:snapToGrid w:val="0"/>
      <w:sz w:val="22"/>
    </w:rPr>
  </w:style>
  <w:style w:type="character" w:customStyle="1" w:styleId="70">
    <w:name w:val="Заголовок 7 Знак"/>
    <w:basedOn w:val="a0"/>
    <w:link w:val="7"/>
    <w:rsid w:val="000D1F48"/>
    <w:rPr>
      <w:i/>
      <w:iCs/>
      <w:szCs w:val="24"/>
    </w:rPr>
  </w:style>
  <w:style w:type="character" w:customStyle="1" w:styleId="80">
    <w:name w:val="Заголовок 8 Знак"/>
    <w:basedOn w:val="a0"/>
    <w:link w:val="8"/>
    <w:semiHidden/>
    <w:rsid w:val="000D1F4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0D1F48"/>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0D1F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0D1F4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093DF9"/>
    <w:pPr>
      <w:numPr>
        <w:ilvl w:val="1"/>
      </w:numPr>
    </w:pPr>
    <w:rPr>
      <w:rFonts w:ascii="Cambria" w:eastAsia="MS Gothic" w:hAnsi="Cambria"/>
      <w:i/>
      <w:iCs/>
      <w:color w:val="4F81BD"/>
      <w:spacing w:val="15"/>
      <w:sz w:val="24"/>
      <w:szCs w:val="24"/>
    </w:rPr>
  </w:style>
  <w:style w:type="character" w:customStyle="1" w:styleId="a6">
    <w:name w:val="Подзаголовок Знак"/>
    <w:link w:val="a5"/>
    <w:rsid w:val="00093DF9"/>
    <w:rPr>
      <w:rFonts w:ascii="Cambria" w:eastAsia="MS Gothic" w:hAnsi="Cambria"/>
      <w:i/>
      <w:iCs/>
      <w:color w:val="4F81BD"/>
      <w:spacing w:val="15"/>
      <w:sz w:val="24"/>
      <w:szCs w:val="24"/>
    </w:rPr>
  </w:style>
  <w:style w:type="character" w:styleId="a7">
    <w:name w:val="Strong"/>
    <w:basedOn w:val="a0"/>
    <w:qFormat/>
    <w:rsid w:val="000D1F48"/>
    <w:rPr>
      <w:b/>
      <w:bCs/>
    </w:rPr>
  </w:style>
  <w:style w:type="character" w:styleId="a8">
    <w:name w:val="Emphasis"/>
    <w:basedOn w:val="a0"/>
    <w:qFormat/>
    <w:rsid w:val="000D1F48"/>
    <w:rPr>
      <w:i/>
      <w:iCs/>
    </w:rPr>
  </w:style>
  <w:style w:type="paragraph" w:styleId="a9">
    <w:name w:val="No Spacing"/>
    <w:uiPriority w:val="1"/>
    <w:qFormat/>
    <w:rsid w:val="00093DF9"/>
    <w:pPr>
      <w:jc w:val="both"/>
    </w:pPr>
  </w:style>
  <w:style w:type="paragraph" w:styleId="aa">
    <w:name w:val="List Paragraph"/>
    <w:aliases w:val="Абзац списка 1"/>
    <w:basedOn w:val="a"/>
    <w:link w:val="ab"/>
    <w:uiPriority w:val="34"/>
    <w:qFormat/>
    <w:rsid w:val="00093DF9"/>
    <w:pPr>
      <w:spacing w:after="200"/>
      <w:ind w:left="720"/>
      <w:contextualSpacing/>
    </w:pPr>
    <w:rPr>
      <w:rFonts w:ascii="Calibri" w:eastAsia="MS Mincho" w:hAnsi="Calibri"/>
      <w:sz w:val="24"/>
      <w:szCs w:val="24"/>
      <w:lang w:eastAsia="ja-JP"/>
    </w:rPr>
  </w:style>
  <w:style w:type="character" w:customStyle="1" w:styleId="ab">
    <w:name w:val="Абзац списка Знак"/>
    <w:aliases w:val="Абзац списка 1 Знак"/>
    <w:link w:val="aa"/>
    <w:uiPriority w:val="34"/>
    <w:rsid w:val="00093DF9"/>
    <w:rPr>
      <w:rFonts w:ascii="Calibri" w:eastAsia="MS Mincho" w:hAnsi="Calibri"/>
      <w:sz w:val="24"/>
      <w:szCs w:val="24"/>
      <w:lang w:eastAsia="ja-JP"/>
    </w:rPr>
  </w:style>
  <w:style w:type="paragraph" w:styleId="21">
    <w:name w:val="Quote"/>
    <w:basedOn w:val="a"/>
    <w:next w:val="a"/>
    <w:link w:val="22"/>
    <w:uiPriority w:val="29"/>
    <w:qFormat/>
    <w:rsid w:val="000D1F48"/>
    <w:rPr>
      <w:i/>
      <w:iCs/>
      <w:color w:val="000000" w:themeColor="text1"/>
    </w:rPr>
  </w:style>
  <w:style w:type="character" w:customStyle="1" w:styleId="22">
    <w:name w:val="Цитата 2 Знак"/>
    <w:basedOn w:val="a0"/>
    <w:link w:val="21"/>
    <w:uiPriority w:val="29"/>
    <w:rsid w:val="000D1F48"/>
    <w:rPr>
      <w:i/>
      <w:iCs/>
      <w:color w:val="000000" w:themeColor="text1"/>
    </w:rPr>
  </w:style>
  <w:style w:type="paragraph" w:styleId="ac">
    <w:name w:val="Intense Quote"/>
    <w:basedOn w:val="a"/>
    <w:next w:val="a"/>
    <w:link w:val="ad"/>
    <w:uiPriority w:val="30"/>
    <w:qFormat/>
    <w:rsid w:val="000D1F4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D1F48"/>
    <w:rPr>
      <w:b/>
      <w:bCs/>
      <w:i/>
      <w:iCs/>
      <w:color w:val="4F81BD" w:themeColor="accent1"/>
    </w:rPr>
  </w:style>
  <w:style w:type="character" w:styleId="ae">
    <w:name w:val="Subtle Emphasis"/>
    <w:uiPriority w:val="19"/>
    <w:qFormat/>
    <w:rsid w:val="000D1F48"/>
    <w:rPr>
      <w:i/>
      <w:iCs/>
      <w:color w:val="808080" w:themeColor="text1" w:themeTint="7F"/>
    </w:rPr>
  </w:style>
  <w:style w:type="character" w:styleId="af">
    <w:name w:val="Intense Emphasis"/>
    <w:basedOn w:val="a0"/>
    <w:uiPriority w:val="21"/>
    <w:qFormat/>
    <w:rsid w:val="000D1F48"/>
    <w:rPr>
      <w:b/>
      <w:bCs/>
      <w:i/>
      <w:iCs/>
      <w:color w:val="4F81BD" w:themeColor="accent1"/>
    </w:rPr>
  </w:style>
  <w:style w:type="character" w:styleId="af0">
    <w:name w:val="Subtle Reference"/>
    <w:basedOn w:val="a0"/>
    <w:uiPriority w:val="31"/>
    <w:qFormat/>
    <w:rsid w:val="000D1F48"/>
    <w:rPr>
      <w:smallCaps/>
      <w:color w:val="C0504D" w:themeColor="accent2"/>
      <w:u w:val="single"/>
    </w:rPr>
  </w:style>
  <w:style w:type="character" w:styleId="af1">
    <w:name w:val="Intense Reference"/>
    <w:basedOn w:val="a0"/>
    <w:uiPriority w:val="32"/>
    <w:qFormat/>
    <w:rsid w:val="000D1F48"/>
    <w:rPr>
      <w:b/>
      <w:bCs/>
      <w:smallCaps/>
      <w:color w:val="C0504D" w:themeColor="accent2"/>
      <w:spacing w:val="5"/>
      <w:u w:val="single"/>
    </w:rPr>
  </w:style>
  <w:style w:type="character" w:styleId="af2">
    <w:name w:val="Book Title"/>
    <w:basedOn w:val="a0"/>
    <w:uiPriority w:val="33"/>
    <w:qFormat/>
    <w:rsid w:val="000D1F48"/>
    <w:rPr>
      <w:b/>
      <w:bCs/>
      <w:smallCaps/>
      <w:spacing w:val="5"/>
    </w:rPr>
  </w:style>
  <w:style w:type="paragraph" w:styleId="af3">
    <w:name w:val="TOC Heading"/>
    <w:basedOn w:val="1"/>
    <w:next w:val="a"/>
    <w:uiPriority w:val="39"/>
    <w:unhideWhenUsed/>
    <w:qFormat/>
    <w:rsid w:val="00093DF9"/>
    <w:pPr>
      <w:keepLines/>
      <w:widowControl/>
      <w:spacing w:before="480" w:line="276" w:lineRule="auto"/>
      <w:ind w:left="0"/>
      <w:outlineLvl w:val="9"/>
    </w:pPr>
    <w:rPr>
      <w:rFonts w:ascii="Cambria" w:eastAsia="MS Gothic" w:hAnsi="Cambria"/>
      <w:bCs/>
      <w:color w:val="365F91"/>
      <w:sz w:val="28"/>
      <w:szCs w:val="28"/>
    </w:rPr>
  </w:style>
  <w:style w:type="paragraph" w:styleId="af4">
    <w:name w:val="caption"/>
    <w:basedOn w:val="a"/>
    <w:qFormat/>
    <w:rsid w:val="00093DF9"/>
    <w:pPr>
      <w:widowControl w:val="0"/>
      <w:ind w:right="-852"/>
      <w:jc w:val="center"/>
    </w:pPr>
    <w:rPr>
      <w:b/>
      <w:snapToGrid w:val="0"/>
      <w:sz w:val="24"/>
    </w:rPr>
  </w:style>
  <w:style w:type="paragraph" w:styleId="af5">
    <w:name w:val="Body Text"/>
    <w:basedOn w:val="a"/>
    <w:link w:val="af6"/>
    <w:uiPriority w:val="99"/>
    <w:rsid w:val="0004192D"/>
    <w:pPr>
      <w:keepLines/>
      <w:tabs>
        <w:tab w:val="num" w:pos="2160"/>
      </w:tabs>
      <w:spacing w:before="120"/>
      <w:ind w:left="2160" w:hanging="180"/>
      <w:jc w:val="both"/>
    </w:pPr>
    <w:rPr>
      <w:lang w:val="x-none"/>
    </w:rPr>
  </w:style>
  <w:style w:type="character" w:customStyle="1" w:styleId="af6">
    <w:name w:val="Основной текст Знак"/>
    <w:basedOn w:val="a0"/>
    <w:link w:val="af5"/>
    <w:uiPriority w:val="99"/>
    <w:rsid w:val="0004192D"/>
    <w:rPr>
      <w:lang w:val="x-none" w:eastAsia="ru-RU"/>
    </w:rPr>
  </w:style>
  <w:style w:type="paragraph" w:styleId="af7">
    <w:name w:val="Plain Text"/>
    <w:basedOn w:val="a"/>
    <w:link w:val="af8"/>
    <w:unhideWhenUsed/>
    <w:rsid w:val="0004192D"/>
    <w:pPr>
      <w:snapToGrid w:val="0"/>
      <w:spacing w:after="120"/>
      <w:ind w:firstLine="851"/>
      <w:jc w:val="both"/>
    </w:pPr>
    <w:rPr>
      <w:sz w:val="24"/>
      <w:lang w:val="x-none"/>
    </w:rPr>
  </w:style>
  <w:style w:type="character" w:customStyle="1" w:styleId="af8">
    <w:name w:val="Текст Знак"/>
    <w:basedOn w:val="a0"/>
    <w:link w:val="af7"/>
    <w:rsid w:val="0004192D"/>
    <w:rPr>
      <w:sz w:val="24"/>
      <w:lang w:val="x-none" w:eastAsia="ru-RU"/>
    </w:rPr>
  </w:style>
  <w:style w:type="character" w:styleId="af9">
    <w:name w:val="Hyperlink"/>
    <w:basedOn w:val="a0"/>
    <w:uiPriority w:val="99"/>
    <w:unhideWhenUsed/>
    <w:rsid w:val="00C522FB"/>
    <w:rPr>
      <w:color w:val="0000FF" w:themeColor="hyperlink"/>
      <w:u w:val="single"/>
    </w:rPr>
  </w:style>
  <w:style w:type="paragraph" w:styleId="afa">
    <w:name w:val="Balloon Text"/>
    <w:basedOn w:val="a"/>
    <w:link w:val="afb"/>
    <w:uiPriority w:val="99"/>
    <w:semiHidden/>
    <w:unhideWhenUsed/>
    <w:rsid w:val="00975066"/>
    <w:rPr>
      <w:rFonts w:ascii="Tahoma" w:hAnsi="Tahoma" w:cs="Tahoma"/>
      <w:sz w:val="16"/>
      <w:szCs w:val="16"/>
    </w:rPr>
  </w:style>
  <w:style w:type="character" w:customStyle="1" w:styleId="afb">
    <w:name w:val="Текст выноски Знак"/>
    <w:basedOn w:val="a0"/>
    <w:link w:val="afa"/>
    <w:uiPriority w:val="99"/>
    <w:semiHidden/>
    <w:rsid w:val="00975066"/>
    <w:rPr>
      <w:rFonts w:ascii="Tahoma" w:hAnsi="Tahoma" w:cs="Tahoma"/>
      <w:sz w:val="16"/>
      <w:szCs w:val="16"/>
      <w:lang w:eastAsia="ru-RU"/>
    </w:rPr>
  </w:style>
  <w:style w:type="character" w:styleId="afc">
    <w:name w:val="annotation reference"/>
    <w:basedOn w:val="a0"/>
    <w:uiPriority w:val="99"/>
    <w:semiHidden/>
    <w:unhideWhenUsed/>
    <w:rsid w:val="00F254CF"/>
    <w:rPr>
      <w:sz w:val="16"/>
      <w:szCs w:val="16"/>
    </w:rPr>
  </w:style>
  <w:style w:type="paragraph" w:styleId="afd">
    <w:name w:val="annotation text"/>
    <w:basedOn w:val="a"/>
    <w:link w:val="afe"/>
    <w:uiPriority w:val="99"/>
    <w:semiHidden/>
    <w:unhideWhenUsed/>
    <w:rsid w:val="00F254CF"/>
  </w:style>
  <w:style w:type="character" w:customStyle="1" w:styleId="afe">
    <w:name w:val="Текст примечания Знак"/>
    <w:basedOn w:val="a0"/>
    <w:link w:val="afd"/>
    <w:uiPriority w:val="99"/>
    <w:semiHidden/>
    <w:rsid w:val="00F254CF"/>
    <w:rPr>
      <w:lang w:eastAsia="ru-RU"/>
    </w:rPr>
  </w:style>
  <w:style w:type="paragraph" w:styleId="aff">
    <w:name w:val="annotation subject"/>
    <w:basedOn w:val="afd"/>
    <w:next w:val="afd"/>
    <w:link w:val="aff0"/>
    <w:uiPriority w:val="99"/>
    <w:semiHidden/>
    <w:unhideWhenUsed/>
    <w:rsid w:val="00F254CF"/>
    <w:rPr>
      <w:b/>
      <w:bCs/>
    </w:rPr>
  </w:style>
  <w:style w:type="character" w:customStyle="1" w:styleId="aff0">
    <w:name w:val="Тема примечания Знак"/>
    <w:basedOn w:val="afe"/>
    <w:link w:val="aff"/>
    <w:uiPriority w:val="99"/>
    <w:semiHidden/>
    <w:rsid w:val="00F254CF"/>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2D"/>
    <w:rPr>
      <w:lang w:eastAsia="ru-RU"/>
    </w:rPr>
  </w:style>
  <w:style w:type="paragraph" w:styleId="1">
    <w:name w:val="heading 1"/>
    <w:basedOn w:val="a"/>
    <w:next w:val="a"/>
    <w:link w:val="10"/>
    <w:qFormat/>
    <w:rsid w:val="00093DF9"/>
    <w:pPr>
      <w:keepNext/>
      <w:widowControl w:val="0"/>
      <w:ind w:left="360"/>
      <w:outlineLvl w:val="0"/>
    </w:pPr>
    <w:rPr>
      <w:rFonts w:eastAsiaTheme="majorEastAsia"/>
      <w:b/>
      <w:sz w:val="32"/>
      <w:szCs w:val="24"/>
    </w:rPr>
  </w:style>
  <w:style w:type="paragraph" w:styleId="2">
    <w:name w:val="heading 2"/>
    <w:aliases w:val="Sub heading"/>
    <w:basedOn w:val="a"/>
    <w:next w:val="a"/>
    <w:link w:val="20"/>
    <w:qFormat/>
    <w:rsid w:val="00093DF9"/>
    <w:pPr>
      <w:keepNext/>
      <w:widowControl w:val="0"/>
      <w:numPr>
        <w:ilvl w:val="1"/>
        <w:numId w:val="1"/>
      </w:numPr>
      <w:outlineLvl w:val="1"/>
    </w:pPr>
    <w:rPr>
      <w:rFonts w:eastAsiaTheme="majorEastAsia"/>
      <w:sz w:val="24"/>
    </w:rPr>
  </w:style>
  <w:style w:type="paragraph" w:styleId="3">
    <w:name w:val="heading 3"/>
    <w:basedOn w:val="a"/>
    <w:next w:val="a"/>
    <w:link w:val="30"/>
    <w:qFormat/>
    <w:rsid w:val="00093DF9"/>
    <w:pPr>
      <w:keepNext/>
      <w:widowControl w:val="0"/>
      <w:numPr>
        <w:ilvl w:val="2"/>
        <w:numId w:val="2"/>
      </w:numPr>
      <w:spacing w:before="240"/>
      <w:jc w:val="center"/>
      <w:outlineLvl w:val="2"/>
    </w:pPr>
    <w:rPr>
      <w:rFonts w:eastAsiaTheme="majorEastAsia"/>
      <w:i/>
      <w:sz w:val="22"/>
    </w:rPr>
  </w:style>
  <w:style w:type="paragraph" w:styleId="4">
    <w:name w:val="heading 4"/>
    <w:basedOn w:val="a"/>
    <w:next w:val="a"/>
    <w:link w:val="40"/>
    <w:qFormat/>
    <w:rsid w:val="00093DF9"/>
    <w:pPr>
      <w:keepNext/>
      <w:jc w:val="right"/>
      <w:outlineLvl w:val="3"/>
    </w:pPr>
    <w:rPr>
      <w:b/>
      <w:i/>
      <w:sz w:val="24"/>
      <w:szCs w:val="24"/>
    </w:rPr>
  </w:style>
  <w:style w:type="paragraph" w:styleId="5">
    <w:name w:val="heading 5"/>
    <w:basedOn w:val="a"/>
    <w:next w:val="a"/>
    <w:link w:val="50"/>
    <w:qFormat/>
    <w:rsid w:val="00093DF9"/>
    <w:pPr>
      <w:keepNext/>
      <w:jc w:val="center"/>
      <w:outlineLvl w:val="4"/>
    </w:pPr>
    <w:rPr>
      <w:b/>
      <w:i/>
      <w:sz w:val="24"/>
    </w:rPr>
  </w:style>
  <w:style w:type="paragraph" w:styleId="6">
    <w:name w:val="heading 6"/>
    <w:basedOn w:val="a"/>
    <w:next w:val="a"/>
    <w:link w:val="60"/>
    <w:qFormat/>
    <w:rsid w:val="00093DF9"/>
    <w:pPr>
      <w:keepNext/>
      <w:widowControl w:val="0"/>
      <w:numPr>
        <w:ilvl w:val="5"/>
        <w:numId w:val="3"/>
      </w:numPr>
      <w:spacing w:line="560" w:lineRule="exact"/>
      <w:ind w:right="-58"/>
      <w:outlineLvl w:val="5"/>
    </w:pPr>
    <w:rPr>
      <w:b/>
      <w:snapToGrid w:val="0"/>
      <w:sz w:val="22"/>
    </w:rPr>
  </w:style>
  <w:style w:type="paragraph" w:styleId="7">
    <w:name w:val="heading 7"/>
    <w:basedOn w:val="a"/>
    <w:next w:val="a"/>
    <w:link w:val="70"/>
    <w:qFormat/>
    <w:rsid w:val="00093DF9"/>
    <w:pPr>
      <w:keepNext/>
      <w:outlineLvl w:val="6"/>
    </w:pPr>
    <w:rPr>
      <w:i/>
      <w:iCs/>
      <w:szCs w:val="24"/>
    </w:rPr>
  </w:style>
  <w:style w:type="paragraph" w:styleId="8">
    <w:name w:val="heading 8"/>
    <w:basedOn w:val="a"/>
    <w:next w:val="a"/>
    <w:link w:val="80"/>
    <w:semiHidden/>
    <w:unhideWhenUsed/>
    <w:qFormat/>
    <w:rsid w:val="000D1F48"/>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0D1F4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5 ТЕКСТ ДОКУМЕНТА"/>
    <w:link w:val="050"/>
    <w:qFormat/>
    <w:rsid w:val="00093DF9"/>
    <w:pPr>
      <w:spacing w:after="283"/>
      <w:ind w:firstLine="284"/>
    </w:pPr>
    <w:rPr>
      <w:rFonts w:ascii="Arial" w:eastAsia="Calibri" w:hAnsi="Arial" w:cs="Arial"/>
      <w:szCs w:val="22"/>
    </w:rPr>
  </w:style>
  <w:style w:type="character" w:customStyle="1" w:styleId="050">
    <w:name w:val="05 ТЕКСТ ДОКУМЕНТА Знак"/>
    <w:link w:val="05"/>
    <w:rsid w:val="00093DF9"/>
    <w:rPr>
      <w:rFonts w:ascii="Arial" w:eastAsia="Calibri" w:hAnsi="Arial" w:cs="Arial"/>
      <w:szCs w:val="22"/>
    </w:rPr>
  </w:style>
  <w:style w:type="character" w:customStyle="1" w:styleId="10">
    <w:name w:val="Заголовок 1 Знак"/>
    <w:link w:val="1"/>
    <w:rsid w:val="00093DF9"/>
    <w:rPr>
      <w:rFonts w:eastAsiaTheme="majorEastAsia"/>
      <w:b/>
      <w:sz w:val="32"/>
      <w:szCs w:val="24"/>
    </w:rPr>
  </w:style>
  <w:style w:type="character" w:customStyle="1" w:styleId="20">
    <w:name w:val="Заголовок 2 Знак"/>
    <w:aliases w:val="Sub heading Знак"/>
    <w:basedOn w:val="a0"/>
    <w:link w:val="2"/>
    <w:rsid w:val="000D1F48"/>
    <w:rPr>
      <w:rFonts w:eastAsiaTheme="majorEastAsia"/>
      <w:sz w:val="24"/>
    </w:rPr>
  </w:style>
  <w:style w:type="character" w:customStyle="1" w:styleId="30">
    <w:name w:val="Заголовок 3 Знак"/>
    <w:link w:val="3"/>
    <w:rsid w:val="00093DF9"/>
    <w:rPr>
      <w:rFonts w:eastAsiaTheme="majorEastAsia"/>
      <w:i/>
      <w:sz w:val="22"/>
    </w:rPr>
  </w:style>
  <w:style w:type="character" w:customStyle="1" w:styleId="40">
    <w:name w:val="Заголовок 4 Знак"/>
    <w:basedOn w:val="a0"/>
    <w:link w:val="4"/>
    <w:rsid w:val="000D1F48"/>
    <w:rPr>
      <w:b/>
      <w:i/>
      <w:sz w:val="24"/>
      <w:szCs w:val="24"/>
    </w:rPr>
  </w:style>
  <w:style w:type="character" w:customStyle="1" w:styleId="50">
    <w:name w:val="Заголовок 5 Знак"/>
    <w:basedOn w:val="a0"/>
    <w:link w:val="5"/>
    <w:rsid w:val="000D1F48"/>
    <w:rPr>
      <w:b/>
      <w:i/>
      <w:sz w:val="24"/>
    </w:rPr>
  </w:style>
  <w:style w:type="character" w:customStyle="1" w:styleId="60">
    <w:name w:val="Заголовок 6 Знак"/>
    <w:link w:val="6"/>
    <w:rsid w:val="00093DF9"/>
    <w:rPr>
      <w:b/>
      <w:snapToGrid w:val="0"/>
      <w:sz w:val="22"/>
    </w:rPr>
  </w:style>
  <w:style w:type="character" w:customStyle="1" w:styleId="70">
    <w:name w:val="Заголовок 7 Знак"/>
    <w:basedOn w:val="a0"/>
    <w:link w:val="7"/>
    <w:rsid w:val="000D1F48"/>
    <w:rPr>
      <w:i/>
      <w:iCs/>
      <w:szCs w:val="24"/>
    </w:rPr>
  </w:style>
  <w:style w:type="character" w:customStyle="1" w:styleId="80">
    <w:name w:val="Заголовок 8 Знак"/>
    <w:basedOn w:val="a0"/>
    <w:link w:val="8"/>
    <w:semiHidden/>
    <w:rsid w:val="000D1F48"/>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0D1F48"/>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0D1F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0D1F4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093DF9"/>
    <w:pPr>
      <w:numPr>
        <w:ilvl w:val="1"/>
      </w:numPr>
    </w:pPr>
    <w:rPr>
      <w:rFonts w:ascii="Cambria" w:eastAsia="MS Gothic" w:hAnsi="Cambria"/>
      <w:i/>
      <w:iCs/>
      <w:color w:val="4F81BD"/>
      <w:spacing w:val="15"/>
      <w:sz w:val="24"/>
      <w:szCs w:val="24"/>
    </w:rPr>
  </w:style>
  <w:style w:type="character" w:customStyle="1" w:styleId="a6">
    <w:name w:val="Подзаголовок Знак"/>
    <w:link w:val="a5"/>
    <w:rsid w:val="00093DF9"/>
    <w:rPr>
      <w:rFonts w:ascii="Cambria" w:eastAsia="MS Gothic" w:hAnsi="Cambria"/>
      <w:i/>
      <w:iCs/>
      <w:color w:val="4F81BD"/>
      <w:spacing w:val="15"/>
      <w:sz w:val="24"/>
      <w:szCs w:val="24"/>
    </w:rPr>
  </w:style>
  <w:style w:type="character" w:styleId="a7">
    <w:name w:val="Strong"/>
    <w:basedOn w:val="a0"/>
    <w:qFormat/>
    <w:rsid w:val="000D1F48"/>
    <w:rPr>
      <w:b/>
      <w:bCs/>
    </w:rPr>
  </w:style>
  <w:style w:type="character" w:styleId="a8">
    <w:name w:val="Emphasis"/>
    <w:basedOn w:val="a0"/>
    <w:qFormat/>
    <w:rsid w:val="000D1F48"/>
    <w:rPr>
      <w:i/>
      <w:iCs/>
    </w:rPr>
  </w:style>
  <w:style w:type="paragraph" w:styleId="a9">
    <w:name w:val="No Spacing"/>
    <w:uiPriority w:val="1"/>
    <w:qFormat/>
    <w:rsid w:val="00093DF9"/>
    <w:pPr>
      <w:jc w:val="both"/>
    </w:pPr>
  </w:style>
  <w:style w:type="paragraph" w:styleId="aa">
    <w:name w:val="List Paragraph"/>
    <w:aliases w:val="Абзац списка 1"/>
    <w:basedOn w:val="a"/>
    <w:link w:val="ab"/>
    <w:uiPriority w:val="34"/>
    <w:qFormat/>
    <w:rsid w:val="00093DF9"/>
    <w:pPr>
      <w:spacing w:after="200"/>
      <w:ind w:left="720"/>
      <w:contextualSpacing/>
    </w:pPr>
    <w:rPr>
      <w:rFonts w:ascii="Calibri" w:eastAsia="MS Mincho" w:hAnsi="Calibri"/>
      <w:sz w:val="24"/>
      <w:szCs w:val="24"/>
      <w:lang w:eastAsia="ja-JP"/>
    </w:rPr>
  </w:style>
  <w:style w:type="character" w:customStyle="1" w:styleId="ab">
    <w:name w:val="Абзац списка Знак"/>
    <w:aliases w:val="Абзац списка 1 Знак"/>
    <w:link w:val="aa"/>
    <w:uiPriority w:val="34"/>
    <w:rsid w:val="00093DF9"/>
    <w:rPr>
      <w:rFonts w:ascii="Calibri" w:eastAsia="MS Mincho" w:hAnsi="Calibri"/>
      <w:sz w:val="24"/>
      <w:szCs w:val="24"/>
      <w:lang w:eastAsia="ja-JP"/>
    </w:rPr>
  </w:style>
  <w:style w:type="paragraph" w:styleId="21">
    <w:name w:val="Quote"/>
    <w:basedOn w:val="a"/>
    <w:next w:val="a"/>
    <w:link w:val="22"/>
    <w:uiPriority w:val="29"/>
    <w:qFormat/>
    <w:rsid w:val="000D1F48"/>
    <w:rPr>
      <w:i/>
      <w:iCs/>
      <w:color w:val="000000" w:themeColor="text1"/>
    </w:rPr>
  </w:style>
  <w:style w:type="character" w:customStyle="1" w:styleId="22">
    <w:name w:val="Цитата 2 Знак"/>
    <w:basedOn w:val="a0"/>
    <w:link w:val="21"/>
    <w:uiPriority w:val="29"/>
    <w:rsid w:val="000D1F48"/>
    <w:rPr>
      <w:i/>
      <w:iCs/>
      <w:color w:val="000000" w:themeColor="text1"/>
    </w:rPr>
  </w:style>
  <w:style w:type="paragraph" w:styleId="ac">
    <w:name w:val="Intense Quote"/>
    <w:basedOn w:val="a"/>
    <w:next w:val="a"/>
    <w:link w:val="ad"/>
    <w:uiPriority w:val="30"/>
    <w:qFormat/>
    <w:rsid w:val="000D1F4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D1F48"/>
    <w:rPr>
      <w:b/>
      <w:bCs/>
      <w:i/>
      <w:iCs/>
      <w:color w:val="4F81BD" w:themeColor="accent1"/>
    </w:rPr>
  </w:style>
  <w:style w:type="character" w:styleId="ae">
    <w:name w:val="Subtle Emphasis"/>
    <w:uiPriority w:val="19"/>
    <w:qFormat/>
    <w:rsid w:val="000D1F48"/>
    <w:rPr>
      <w:i/>
      <w:iCs/>
      <w:color w:val="808080" w:themeColor="text1" w:themeTint="7F"/>
    </w:rPr>
  </w:style>
  <w:style w:type="character" w:styleId="af">
    <w:name w:val="Intense Emphasis"/>
    <w:basedOn w:val="a0"/>
    <w:uiPriority w:val="21"/>
    <w:qFormat/>
    <w:rsid w:val="000D1F48"/>
    <w:rPr>
      <w:b/>
      <w:bCs/>
      <w:i/>
      <w:iCs/>
      <w:color w:val="4F81BD" w:themeColor="accent1"/>
    </w:rPr>
  </w:style>
  <w:style w:type="character" w:styleId="af0">
    <w:name w:val="Subtle Reference"/>
    <w:basedOn w:val="a0"/>
    <w:uiPriority w:val="31"/>
    <w:qFormat/>
    <w:rsid w:val="000D1F48"/>
    <w:rPr>
      <w:smallCaps/>
      <w:color w:val="C0504D" w:themeColor="accent2"/>
      <w:u w:val="single"/>
    </w:rPr>
  </w:style>
  <w:style w:type="character" w:styleId="af1">
    <w:name w:val="Intense Reference"/>
    <w:basedOn w:val="a0"/>
    <w:uiPriority w:val="32"/>
    <w:qFormat/>
    <w:rsid w:val="000D1F48"/>
    <w:rPr>
      <w:b/>
      <w:bCs/>
      <w:smallCaps/>
      <w:color w:val="C0504D" w:themeColor="accent2"/>
      <w:spacing w:val="5"/>
      <w:u w:val="single"/>
    </w:rPr>
  </w:style>
  <w:style w:type="character" w:styleId="af2">
    <w:name w:val="Book Title"/>
    <w:basedOn w:val="a0"/>
    <w:uiPriority w:val="33"/>
    <w:qFormat/>
    <w:rsid w:val="000D1F48"/>
    <w:rPr>
      <w:b/>
      <w:bCs/>
      <w:smallCaps/>
      <w:spacing w:val="5"/>
    </w:rPr>
  </w:style>
  <w:style w:type="paragraph" w:styleId="af3">
    <w:name w:val="TOC Heading"/>
    <w:basedOn w:val="1"/>
    <w:next w:val="a"/>
    <w:uiPriority w:val="39"/>
    <w:unhideWhenUsed/>
    <w:qFormat/>
    <w:rsid w:val="00093DF9"/>
    <w:pPr>
      <w:keepLines/>
      <w:widowControl/>
      <w:spacing w:before="480" w:line="276" w:lineRule="auto"/>
      <w:ind w:left="0"/>
      <w:outlineLvl w:val="9"/>
    </w:pPr>
    <w:rPr>
      <w:rFonts w:ascii="Cambria" w:eastAsia="MS Gothic" w:hAnsi="Cambria"/>
      <w:bCs/>
      <w:color w:val="365F91"/>
      <w:sz w:val="28"/>
      <w:szCs w:val="28"/>
    </w:rPr>
  </w:style>
  <w:style w:type="paragraph" w:styleId="af4">
    <w:name w:val="caption"/>
    <w:basedOn w:val="a"/>
    <w:qFormat/>
    <w:rsid w:val="00093DF9"/>
    <w:pPr>
      <w:widowControl w:val="0"/>
      <w:ind w:right="-852"/>
      <w:jc w:val="center"/>
    </w:pPr>
    <w:rPr>
      <w:b/>
      <w:snapToGrid w:val="0"/>
      <w:sz w:val="24"/>
    </w:rPr>
  </w:style>
  <w:style w:type="paragraph" w:styleId="af5">
    <w:name w:val="Body Text"/>
    <w:basedOn w:val="a"/>
    <w:link w:val="af6"/>
    <w:uiPriority w:val="99"/>
    <w:rsid w:val="0004192D"/>
    <w:pPr>
      <w:keepLines/>
      <w:tabs>
        <w:tab w:val="num" w:pos="2160"/>
      </w:tabs>
      <w:spacing w:before="120"/>
      <w:ind w:left="2160" w:hanging="180"/>
      <w:jc w:val="both"/>
    </w:pPr>
    <w:rPr>
      <w:lang w:val="x-none"/>
    </w:rPr>
  </w:style>
  <w:style w:type="character" w:customStyle="1" w:styleId="af6">
    <w:name w:val="Основной текст Знак"/>
    <w:basedOn w:val="a0"/>
    <w:link w:val="af5"/>
    <w:uiPriority w:val="99"/>
    <w:rsid w:val="0004192D"/>
    <w:rPr>
      <w:lang w:val="x-none" w:eastAsia="ru-RU"/>
    </w:rPr>
  </w:style>
  <w:style w:type="paragraph" w:styleId="af7">
    <w:name w:val="Plain Text"/>
    <w:basedOn w:val="a"/>
    <w:link w:val="af8"/>
    <w:unhideWhenUsed/>
    <w:rsid w:val="0004192D"/>
    <w:pPr>
      <w:snapToGrid w:val="0"/>
      <w:spacing w:after="120"/>
      <w:ind w:firstLine="851"/>
      <w:jc w:val="both"/>
    </w:pPr>
    <w:rPr>
      <w:sz w:val="24"/>
      <w:lang w:val="x-none"/>
    </w:rPr>
  </w:style>
  <w:style w:type="character" w:customStyle="1" w:styleId="af8">
    <w:name w:val="Текст Знак"/>
    <w:basedOn w:val="a0"/>
    <w:link w:val="af7"/>
    <w:rsid w:val="0004192D"/>
    <w:rPr>
      <w:sz w:val="24"/>
      <w:lang w:val="x-none" w:eastAsia="ru-RU"/>
    </w:rPr>
  </w:style>
  <w:style w:type="character" w:styleId="af9">
    <w:name w:val="Hyperlink"/>
    <w:basedOn w:val="a0"/>
    <w:uiPriority w:val="99"/>
    <w:unhideWhenUsed/>
    <w:rsid w:val="00C522FB"/>
    <w:rPr>
      <w:color w:val="0000FF" w:themeColor="hyperlink"/>
      <w:u w:val="single"/>
    </w:rPr>
  </w:style>
  <w:style w:type="paragraph" w:styleId="afa">
    <w:name w:val="Balloon Text"/>
    <w:basedOn w:val="a"/>
    <w:link w:val="afb"/>
    <w:uiPriority w:val="99"/>
    <w:semiHidden/>
    <w:unhideWhenUsed/>
    <w:rsid w:val="00975066"/>
    <w:rPr>
      <w:rFonts w:ascii="Tahoma" w:hAnsi="Tahoma" w:cs="Tahoma"/>
      <w:sz w:val="16"/>
      <w:szCs w:val="16"/>
    </w:rPr>
  </w:style>
  <w:style w:type="character" w:customStyle="1" w:styleId="afb">
    <w:name w:val="Текст выноски Знак"/>
    <w:basedOn w:val="a0"/>
    <w:link w:val="afa"/>
    <w:uiPriority w:val="99"/>
    <w:semiHidden/>
    <w:rsid w:val="00975066"/>
    <w:rPr>
      <w:rFonts w:ascii="Tahoma" w:hAnsi="Tahoma" w:cs="Tahoma"/>
      <w:sz w:val="16"/>
      <w:szCs w:val="16"/>
      <w:lang w:eastAsia="ru-RU"/>
    </w:rPr>
  </w:style>
  <w:style w:type="character" w:styleId="afc">
    <w:name w:val="annotation reference"/>
    <w:basedOn w:val="a0"/>
    <w:uiPriority w:val="99"/>
    <w:semiHidden/>
    <w:unhideWhenUsed/>
    <w:rsid w:val="00F254CF"/>
    <w:rPr>
      <w:sz w:val="16"/>
      <w:szCs w:val="16"/>
    </w:rPr>
  </w:style>
  <w:style w:type="paragraph" w:styleId="afd">
    <w:name w:val="annotation text"/>
    <w:basedOn w:val="a"/>
    <w:link w:val="afe"/>
    <w:uiPriority w:val="99"/>
    <w:semiHidden/>
    <w:unhideWhenUsed/>
    <w:rsid w:val="00F254CF"/>
  </w:style>
  <w:style w:type="character" w:customStyle="1" w:styleId="afe">
    <w:name w:val="Текст примечания Знак"/>
    <w:basedOn w:val="a0"/>
    <w:link w:val="afd"/>
    <w:uiPriority w:val="99"/>
    <w:semiHidden/>
    <w:rsid w:val="00F254CF"/>
    <w:rPr>
      <w:lang w:eastAsia="ru-RU"/>
    </w:rPr>
  </w:style>
  <w:style w:type="paragraph" w:styleId="aff">
    <w:name w:val="annotation subject"/>
    <w:basedOn w:val="afd"/>
    <w:next w:val="afd"/>
    <w:link w:val="aff0"/>
    <w:uiPriority w:val="99"/>
    <w:semiHidden/>
    <w:unhideWhenUsed/>
    <w:rsid w:val="00F254CF"/>
    <w:rPr>
      <w:b/>
      <w:bCs/>
    </w:rPr>
  </w:style>
  <w:style w:type="character" w:customStyle="1" w:styleId="aff0">
    <w:name w:val="Тема примечания Знак"/>
    <w:basedOn w:val="afe"/>
    <w:link w:val="aff"/>
    <w:uiPriority w:val="99"/>
    <w:semiHidden/>
    <w:rsid w:val="00F254CF"/>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15">
      <w:bodyDiv w:val="1"/>
      <w:marLeft w:val="0"/>
      <w:marRight w:val="0"/>
      <w:marTop w:val="0"/>
      <w:marBottom w:val="0"/>
      <w:divBdr>
        <w:top w:val="none" w:sz="0" w:space="0" w:color="auto"/>
        <w:left w:val="none" w:sz="0" w:space="0" w:color="auto"/>
        <w:bottom w:val="none" w:sz="0" w:space="0" w:color="auto"/>
        <w:right w:val="none" w:sz="0" w:space="0" w:color="auto"/>
      </w:divBdr>
    </w:div>
    <w:div w:id="297343639">
      <w:bodyDiv w:val="1"/>
      <w:marLeft w:val="0"/>
      <w:marRight w:val="0"/>
      <w:marTop w:val="0"/>
      <w:marBottom w:val="0"/>
      <w:divBdr>
        <w:top w:val="none" w:sz="0" w:space="0" w:color="auto"/>
        <w:left w:val="none" w:sz="0" w:space="0" w:color="auto"/>
        <w:bottom w:val="none" w:sz="0" w:space="0" w:color="auto"/>
        <w:right w:val="none" w:sz="0" w:space="0" w:color="auto"/>
      </w:divBdr>
    </w:div>
    <w:div w:id="542639986">
      <w:bodyDiv w:val="1"/>
      <w:marLeft w:val="0"/>
      <w:marRight w:val="0"/>
      <w:marTop w:val="0"/>
      <w:marBottom w:val="0"/>
      <w:divBdr>
        <w:top w:val="none" w:sz="0" w:space="0" w:color="auto"/>
        <w:left w:val="none" w:sz="0" w:space="0" w:color="auto"/>
        <w:bottom w:val="none" w:sz="0" w:space="0" w:color="auto"/>
        <w:right w:val="none" w:sz="0" w:space="0" w:color="auto"/>
      </w:divBdr>
    </w:div>
    <w:div w:id="10523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bban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Нафиков Олег Ирекович</cp:lastModifiedBy>
  <cp:revision>4</cp:revision>
  <dcterms:created xsi:type="dcterms:W3CDTF">2023-10-11T12:11:00Z</dcterms:created>
  <dcterms:modified xsi:type="dcterms:W3CDTF">2023-10-18T15:02:00Z</dcterms:modified>
</cp:coreProperties>
</file>