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31" w:rsidRPr="002C71FA" w:rsidRDefault="00FE6531" w:rsidP="00FE653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C71FA">
        <w:rPr>
          <w:rFonts w:ascii="Arial" w:hAnsi="Arial" w:cs="Arial"/>
          <w:sz w:val="20"/>
          <w:szCs w:val="20"/>
        </w:rPr>
        <w:t>Приложение № 27</w:t>
      </w:r>
    </w:p>
    <w:p w:rsidR="00FE6531" w:rsidRPr="002C71FA" w:rsidRDefault="00FE6531" w:rsidP="00FE653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C71FA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FE6531" w:rsidRPr="002C71FA" w:rsidRDefault="00FE6531" w:rsidP="00FE653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C71FA">
        <w:rPr>
          <w:rFonts w:ascii="Arial" w:hAnsi="Arial" w:cs="Arial"/>
          <w:sz w:val="20"/>
          <w:szCs w:val="20"/>
        </w:rPr>
        <w:t>депозитарной деятельности</w:t>
      </w:r>
    </w:p>
    <w:p w:rsidR="00FE6531" w:rsidRPr="002C71FA" w:rsidRDefault="00FE6531" w:rsidP="00FE653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C71F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C71FA">
        <w:rPr>
          <w:rFonts w:ascii="Arial" w:hAnsi="Arial" w:cs="Arial"/>
          <w:sz w:val="20"/>
          <w:szCs w:val="20"/>
        </w:rPr>
        <w:t>ПАО</w:t>
      </w:r>
      <w:proofErr w:type="spellEnd"/>
      <w:r w:rsidRPr="002C71FA">
        <w:rPr>
          <w:rFonts w:ascii="Arial" w:hAnsi="Arial" w:cs="Arial"/>
          <w:sz w:val="20"/>
          <w:szCs w:val="20"/>
        </w:rPr>
        <w:t xml:space="preserve"> «СПБ Банк</w:t>
      </w:r>
      <w:r w:rsidRPr="002C71FA">
        <w:rPr>
          <w:rFonts w:ascii="Arial" w:hAnsi="Arial" w:cs="Arial"/>
          <w:b/>
          <w:sz w:val="20"/>
          <w:szCs w:val="20"/>
        </w:rPr>
        <w:t>»</w:t>
      </w:r>
    </w:p>
    <w:p w:rsidR="00FE6531" w:rsidRPr="002C71FA" w:rsidRDefault="00FE6531" w:rsidP="00FE6531">
      <w:pPr>
        <w:rPr>
          <w:rFonts w:ascii="Arial" w:hAnsi="Arial" w:cs="Arial"/>
          <w:sz w:val="20"/>
          <w:szCs w:val="20"/>
        </w:rPr>
      </w:pPr>
    </w:p>
    <w:p w:rsidR="00FE6531" w:rsidRPr="002C71FA" w:rsidRDefault="00FE6531" w:rsidP="00FE6531">
      <w:pPr>
        <w:rPr>
          <w:rFonts w:ascii="Arial" w:hAnsi="Arial" w:cs="Arial"/>
          <w:sz w:val="20"/>
          <w:szCs w:val="20"/>
        </w:rPr>
      </w:pPr>
    </w:p>
    <w:p w:rsidR="00FE6531" w:rsidRPr="002C71FA" w:rsidRDefault="00FE6531" w:rsidP="00FE6531">
      <w:pPr>
        <w:rPr>
          <w:rFonts w:ascii="Arial" w:hAnsi="Arial" w:cs="Arial"/>
          <w:sz w:val="20"/>
          <w:szCs w:val="20"/>
        </w:rPr>
      </w:pPr>
    </w:p>
    <w:p w:rsidR="00FE6531" w:rsidRPr="002C71FA" w:rsidRDefault="00FE6531" w:rsidP="00FE6531">
      <w:pPr>
        <w:jc w:val="center"/>
        <w:rPr>
          <w:rFonts w:ascii="Arial" w:hAnsi="Arial" w:cs="Arial"/>
          <w:b/>
          <w:sz w:val="20"/>
          <w:szCs w:val="20"/>
        </w:rPr>
      </w:pPr>
      <w:r w:rsidRPr="002C71FA">
        <w:rPr>
          <w:rFonts w:ascii="Arial" w:hAnsi="Arial" w:cs="Arial"/>
          <w:b/>
          <w:sz w:val="20"/>
          <w:szCs w:val="20"/>
        </w:rPr>
        <w:t xml:space="preserve">Тарифы </w:t>
      </w:r>
      <w:proofErr w:type="spellStart"/>
      <w:r w:rsidRPr="002C71FA">
        <w:rPr>
          <w:rFonts w:ascii="Arial" w:hAnsi="Arial" w:cs="Arial"/>
          <w:b/>
          <w:sz w:val="20"/>
          <w:szCs w:val="20"/>
        </w:rPr>
        <w:t>ПАО</w:t>
      </w:r>
      <w:proofErr w:type="spellEnd"/>
      <w:r w:rsidRPr="002C71FA">
        <w:rPr>
          <w:rFonts w:ascii="Arial" w:hAnsi="Arial" w:cs="Arial"/>
          <w:b/>
          <w:sz w:val="20"/>
          <w:szCs w:val="20"/>
        </w:rPr>
        <w:t xml:space="preserve"> «СПБ Банк» за оказание депозитарных услуг</w:t>
      </w:r>
    </w:p>
    <w:p w:rsidR="00FE6531" w:rsidRPr="002C71FA" w:rsidRDefault="00FE6531" w:rsidP="00FE6531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0"/>
        <w:gridCol w:w="2107"/>
        <w:gridCol w:w="141"/>
        <w:gridCol w:w="284"/>
        <w:gridCol w:w="141"/>
        <w:gridCol w:w="22"/>
        <w:gridCol w:w="2814"/>
      </w:tblGrid>
      <w:tr w:rsidR="00FE6531" w:rsidRPr="002C71FA" w:rsidTr="003E7FB1">
        <w:trPr>
          <w:cantSplit/>
          <w:trHeight w:val="563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6531" w:rsidRPr="002C71FA" w:rsidRDefault="00FE6531" w:rsidP="003E7FB1">
            <w:pPr>
              <w:tabs>
                <w:tab w:val="left" w:pos="72"/>
                <w:tab w:val="left" w:pos="716"/>
                <w:tab w:val="left" w:pos="923"/>
                <w:tab w:val="left" w:pos="1065"/>
                <w:tab w:val="left" w:pos="1137"/>
              </w:tabs>
              <w:ind w:right="2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</w:t>
            </w:r>
          </w:p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6531" w:rsidRPr="002C71FA" w:rsidRDefault="00FE6531" w:rsidP="003E7FB1">
            <w:pPr>
              <w:ind w:firstLine="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услуги (</w:t>
            </w:r>
            <w:proofErr w:type="spellStart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2C7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E6531" w:rsidRPr="002C71FA" w:rsidTr="003E7FB1">
        <w:trPr>
          <w:trHeight w:hRule="exact" w:val="222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Открытие счета депо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rPr>
          <w:trHeight w:hRule="exact" w:val="906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Ведение счета депо при наличии остатков и/или условия проведения операций по счету депо, </w:t>
            </w:r>
            <w:r w:rsidRPr="002C71FA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кроме кредитных организаций</w:t>
            </w: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для которых открыты индивидуальные</w:t>
            </w:r>
            <w:r w:rsidRPr="002C71FA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счета в вышестоящих депозитариях.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rPr>
          <w:trHeight w:hRule="exact" w:val="847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923"/>
                <w:tab w:val="left" w:pos="1065"/>
                <w:tab w:val="left" w:pos="1207"/>
                <w:tab w:val="left" w:pos="1490"/>
              </w:tabs>
              <w:ind w:right="72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Ведение счета депо при наличии остатков и/или условия проведения операций по счету депо </w:t>
            </w:r>
            <w:r w:rsidRPr="002C71FA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для кредитных </w:t>
            </w:r>
            <w:proofErr w:type="gramStart"/>
            <w:r w:rsidRPr="002C71FA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организаций</w:t>
            </w:r>
            <w:proofErr w:type="gramEnd"/>
            <w:r w:rsidRPr="002C71FA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для которых открыты индивидуальные счета в вышестоящих депозитариях.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3000  в месяц</w:t>
            </w:r>
            <w:r w:rsidR="000F3CD9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</w:tr>
      <w:tr w:rsidR="00FE6531" w:rsidRPr="002C71FA" w:rsidTr="003E7FB1">
        <w:trPr>
          <w:trHeight w:hRule="exact" w:val="279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923"/>
                <w:tab w:val="left" w:pos="1065"/>
                <w:tab w:val="left" w:pos="1207"/>
                <w:tab w:val="left" w:pos="1490"/>
              </w:tabs>
              <w:ind w:right="72" w:firstLine="2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1FA">
              <w:rPr>
                <w:rFonts w:ascii="Arial" w:hAnsi="Arial" w:cs="Arial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ind w:left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1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Ведение Индивидуального счета в </w:t>
            </w:r>
            <w:proofErr w:type="spellStart"/>
            <w:r w:rsidRPr="002C71FA">
              <w:rPr>
                <w:rFonts w:ascii="Arial" w:hAnsi="Arial" w:cs="Arial"/>
                <w:color w:val="000000" w:themeColor="text1"/>
                <w:sz w:val="18"/>
                <w:szCs w:val="18"/>
              </w:rPr>
              <w:t>МРКЦ</w:t>
            </w:r>
            <w:proofErr w:type="spellEnd"/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1FA">
              <w:rPr>
                <w:rFonts w:ascii="Arial" w:hAnsi="Arial" w:cs="Arial"/>
                <w:color w:val="000000" w:themeColor="text1"/>
                <w:sz w:val="18"/>
                <w:szCs w:val="18"/>
              </w:rPr>
              <w:t>8000 в месяц**</w:t>
            </w:r>
          </w:p>
        </w:tc>
      </w:tr>
      <w:tr w:rsidR="00FE6531" w:rsidRPr="002C71FA" w:rsidTr="003E7FB1">
        <w:trPr>
          <w:trHeight w:hRule="exact" w:val="260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Назначение попечителя, оператора счета депо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rPr>
          <w:trHeight w:hRule="exact" w:val="287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Выписка по счету депо Депонента (по итогам операции)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rPr>
          <w:trHeight w:hRule="exact" w:val="574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Отчет о совершенной операции</w:t>
            </w:r>
          </w:p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(по итогам операции)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rPr>
          <w:trHeight w:hRule="exact" w:val="568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88" w:type="dxa"/>
            <w:gridSpan w:val="3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Предоставление информации (в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>. выписка/отчет о совершенной операции)  по запросу Депонента (Попечителя)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rPr>
          <w:trHeight w:hRule="exact" w:val="1011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90" w:type="dxa"/>
            <w:gridSpan w:val="8"/>
          </w:tcPr>
          <w:p w:rsidR="00FE6531" w:rsidRPr="002C71FA" w:rsidRDefault="00FE6531" w:rsidP="003E7FB1">
            <w:pPr>
              <w:pStyle w:val="BodyTextIndent21"/>
              <w:keepNext/>
              <w:spacing w:before="120" w:after="120"/>
              <w:ind w:left="0" w:firstLine="72"/>
              <w:jc w:val="both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 Инвентарные операции с </w:t>
            </w:r>
            <w:proofErr w:type="gramStart"/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ценными</w:t>
            </w:r>
            <w:proofErr w:type="gramEnd"/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бумаги (для физических и юридических лиц), </w:t>
            </w:r>
            <w:r w:rsidRPr="002C71FA">
              <w:rPr>
                <w:rFonts w:ascii="Arial" w:eastAsiaTheme="minorEastAsia" w:hAnsi="Arial" w:cs="Arial"/>
                <w:b w:val="0"/>
                <w:sz w:val="18"/>
                <w:szCs w:val="18"/>
                <w:lang w:eastAsia="ja-JP"/>
              </w:rPr>
              <w:t>кроме кредитных организаций для которых открыты индивидуальные счета в вышестоящих депозитариях</w:t>
            </w: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.</w:t>
            </w:r>
          </w:p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531" w:rsidRPr="002C71FA" w:rsidTr="003E7FB1">
        <w:trPr>
          <w:trHeight w:val="698"/>
        </w:trPr>
        <w:tc>
          <w:tcPr>
            <w:tcW w:w="1134" w:type="dxa"/>
            <w:tcBorders>
              <w:bottom w:val="nil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213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529" w:type="dxa"/>
            <w:gridSpan w:val="4"/>
            <w:tcBorders>
              <w:bottom w:val="nil"/>
              <w:right w:val="single" w:sz="4" w:space="0" w:color="auto"/>
            </w:tcBorders>
          </w:tcPr>
          <w:p w:rsidR="00FE6531" w:rsidRPr="002C71FA" w:rsidRDefault="00FE6531" w:rsidP="003E7FB1">
            <w:pPr>
              <w:pStyle w:val="a3"/>
              <w:ind w:firstLine="75"/>
              <w:rPr>
                <w:rFonts w:ascii="Arial" w:hAnsi="Arial" w:cs="Arial"/>
                <w:sz w:val="18"/>
                <w:szCs w:val="18"/>
              </w:rPr>
            </w:pPr>
          </w:p>
          <w:p w:rsidR="00FE6531" w:rsidRPr="002C71FA" w:rsidRDefault="00FE6531" w:rsidP="003E7FB1">
            <w:pPr>
              <w:pStyle w:val="a3"/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Инвентарные операции по торговым счетам депо по итогам организованных торгов на биржевых площадках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nil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80  за операцию </w:t>
            </w:r>
          </w:p>
        </w:tc>
      </w:tr>
      <w:tr w:rsidR="00FE6531" w:rsidRPr="002C71FA" w:rsidTr="003E7FB1">
        <w:trPr>
          <w:trHeight w:val="698"/>
        </w:trPr>
        <w:tc>
          <w:tcPr>
            <w:tcW w:w="1134" w:type="dxa"/>
            <w:tcBorders>
              <w:bottom w:val="nil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213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7.1.1</w:t>
            </w:r>
          </w:p>
        </w:tc>
        <w:tc>
          <w:tcPr>
            <w:tcW w:w="5529" w:type="dxa"/>
            <w:gridSpan w:val="4"/>
            <w:tcBorders>
              <w:bottom w:val="nil"/>
              <w:right w:val="single" w:sz="4" w:space="0" w:color="auto"/>
            </w:tcBorders>
          </w:tcPr>
          <w:p w:rsidR="00FE6531" w:rsidRPr="002C71FA" w:rsidDel="00105F8C" w:rsidRDefault="00FE6531" w:rsidP="003E7FB1">
            <w:pPr>
              <w:pStyle w:val="a3"/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Инвентарные операции по итогам клиринга внебиржевых расчетов ценными бумагами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nil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 за операцию</w:t>
            </w:r>
          </w:p>
        </w:tc>
      </w:tr>
      <w:tr w:rsidR="00FE6531" w:rsidRPr="002C71FA" w:rsidTr="003E7FB1">
        <w:trPr>
          <w:cantSplit/>
          <w:trHeight w:val="978"/>
        </w:trPr>
        <w:tc>
          <w:tcPr>
            <w:tcW w:w="1134" w:type="dxa"/>
            <w:tcBorders>
              <w:bottom w:val="nil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213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529" w:type="dxa"/>
            <w:gridSpan w:val="4"/>
            <w:tcBorders>
              <w:bottom w:val="nil"/>
              <w:right w:val="single" w:sz="4" w:space="0" w:color="auto"/>
            </w:tcBorders>
          </w:tcPr>
          <w:p w:rsidR="00FE6531" w:rsidRPr="002C71FA" w:rsidRDefault="00FE6531" w:rsidP="003E7FB1">
            <w:pPr>
              <w:pStyle w:val="a3"/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Прием  на учет ценных бумаг в реестре акционеров (депонирование без изменения прав собственности) на основании  поручения Депонента (Попечителя, Оператора счета Депо) отдельно по каждому выпуску ценных бумаг. 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nil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комиссии***</w:t>
            </w:r>
          </w:p>
        </w:tc>
      </w:tr>
      <w:tr w:rsidR="00FE6531" w:rsidRPr="002C71FA" w:rsidTr="008B4C01">
        <w:trPr>
          <w:trHeight w:hRule="exact" w:val="4225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  <w:tab w:val="left" w:pos="782"/>
              </w:tabs>
              <w:ind w:right="213" w:firstLine="2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529" w:type="dxa"/>
            <w:gridSpan w:val="4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Инвентарные и глобальные депозитарные операции (в том числе операции по итогам проведения корпоративных действий: погашение, конвертация и пр.) по счету депо, за исключением операций указанных в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7.4, 7.5, 7.7, Тариф, указанный в настоящем пункте, взимается отдельно по каждому выпуску ценных бумаг </w:t>
            </w:r>
          </w:p>
          <w:p w:rsidR="00FE6531" w:rsidRPr="008B4C01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B4C01" w:rsidRDefault="008B4C01" w:rsidP="008B4C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Тариф, указанный в настоящем пункте, взимается</w:t>
            </w:r>
            <w:r w:rsidRPr="009B20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только в отношении счетов депо. </w:t>
            </w:r>
          </w:p>
          <w:p w:rsidR="008B4C01" w:rsidRDefault="008B4C01" w:rsidP="008B4C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C01" w:rsidRPr="009B200E" w:rsidRDefault="008B4C01" w:rsidP="008B4C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Тариф не применяется в</w:t>
            </w:r>
            <w:r w:rsidRPr="009B200E">
              <w:rPr>
                <w:rFonts w:ascii="Arial" w:hAnsi="Arial" w:cs="Arial"/>
                <w:sz w:val="18"/>
                <w:szCs w:val="18"/>
              </w:rPr>
              <w:t xml:space="preserve"> случае списания с</w:t>
            </w:r>
            <w:r>
              <w:rPr>
                <w:rFonts w:ascii="Arial" w:hAnsi="Arial" w:cs="Arial"/>
                <w:sz w:val="18"/>
                <w:szCs w:val="18"/>
              </w:rPr>
              <w:t>о счета</w:t>
            </w:r>
            <w:r w:rsidRPr="009B200E">
              <w:rPr>
                <w:rFonts w:ascii="Arial" w:hAnsi="Arial" w:cs="Arial"/>
                <w:sz w:val="18"/>
                <w:szCs w:val="18"/>
              </w:rPr>
              <w:t xml:space="preserve"> депо ценных бумаг, учет и хранение которых осуществляется в депозитариях, в отношении которых применяются меры ограничительного характера, введенные со стороны иностранного государства, объединения иностранных государств или международной организации, при условии представления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Депонентом </w:t>
            </w:r>
            <w:r w:rsidRPr="009B200E">
              <w:rPr>
                <w:rFonts w:ascii="Arial" w:hAnsi="Arial" w:cs="Arial"/>
                <w:sz w:val="18"/>
                <w:szCs w:val="18"/>
              </w:rPr>
              <w:t>или его Клиентом/</w:t>
            </w:r>
            <w:proofErr w:type="spellStart"/>
            <w:r w:rsidRPr="009B200E">
              <w:rPr>
                <w:rFonts w:ascii="Arial" w:hAnsi="Arial" w:cs="Arial"/>
                <w:sz w:val="18"/>
                <w:szCs w:val="18"/>
              </w:rPr>
              <w:t>Субклиентом</w:t>
            </w:r>
            <w:proofErr w:type="spellEnd"/>
            <w:r w:rsidRPr="009B200E">
              <w:rPr>
                <w:rFonts w:ascii="Arial" w:hAnsi="Arial" w:cs="Arial"/>
                <w:sz w:val="18"/>
                <w:szCs w:val="18"/>
              </w:rPr>
              <w:t xml:space="preserve"> документов, подтверждающих разрешение на перевод указанных ценных бумаг из  таких депозитариев, выданное компетентн</w:t>
            </w:r>
            <w:r>
              <w:rPr>
                <w:rFonts w:ascii="Arial" w:hAnsi="Arial" w:cs="Arial"/>
                <w:sz w:val="18"/>
                <w:szCs w:val="18"/>
              </w:rPr>
              <w:t>ым органом по выдаче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разрешений</w:t>
            </w:r>
            <w:r w:rsidRPr="009B200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4C01" w:rsidRPr="008B4C01" w:rsidRDefault="008B4C0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FE6531" w:rsidRPr="00BC20C9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80 за операцию***</w:t>
            </w:r>
          </w:p>
          <w:p w:rsidR="000A61C0" w:rsidRPr="00BC20C9" w:rsidRDefault="000A61C0" w:rsidP="003E7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0A61C0" w:rsidRPr="00BC20C9" w:rsidRDefault="00477F49" w:rsidP="000A61C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C20C9">
              <w:rPr>
                <w:rFonts w:ascii="Arial" w:hAnsi="Arial" w:cs="Arial"/>
                <w:i/>
                <w:sz w:val="18"/>
                <w:szCs w:val="18"/>
              </w:rPr>
              <w:t>С 16.01.2024 по 31.12.2024 введен маркетинговый  период для операций по счетам депо типа «</w:t>
            </w:r>
            <w:r w:rsidRPr="00BC20C9">
              <w:rPr>
                <w:rFonts w:ascii="Arial" w:hAnsi="Arial" w:cs="Arial"/>
                <w:i/>
                <w:sz w:val="18"/>
                <w:szCs w:val="18"/>
                <w:lang w:val="en-US"/>
              </w:rPr>
              <w:t>Y</w:t>
            </w:r>
            <w:r w:rsidRPr="00BC20C9">
              <w:rPr>
                <w:rFonts w:ascii="Arial" w:hAnsi="Arial" w:cs="Arial"/>
                <w:i/>
                <w:sz w:val="18"/>
                <w:szCs w:val="18"/>
              </w:rPr>
              <w:t>», в течение которого не взимается плата за проведение инвентарных операций.</w:t>
            </w:r>
          </w:p>
        </w:tc>
      </w:tr>
      <w:tr w:rsidR="00FE6531" w:rsidRPr="002C71FA" w:rsidTr="00BC20C9">
        <w:trPr>
          <w:trHeight w:hRule="exact" w:val="7244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640"/>
                <w:tab w:val="left" w:pos="782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lastRenderedPageBreak/>
              <w:t>7.4</w:t>
            </w:r>
          </w:p>
        </w:tc>
        <w:tc>
          <w:tcPr>
            <w:tcW w:w="5529" w:type="dxa"/>
            <w:gridSpan w:val="4"/>
          </w:tcPr>
          <w:p w:rsidR="00FE6531" w:rsidRPr="002C71FA" w:rsidRDefault="00FE6531" w:rsidP="003E7F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  а)  Снятие ценных бумаг с депозитарного учета, операция, имеющая целью - расчеты по внебиржевым сделкам клиента на условиях расчета «Поставка свободная от платежа», (при рыночной стоимости / номинале выводимых ценных бумаг, превышающем 500 тыс. рублей);</w:t>
            </w:r>
          </w:p>
          <w:p w:rsidR="00FE6531" w:rsidRPr="002C71FA" w:rsidRDefault="00FE6531" w:rsidP="003E7FB1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б) Снятие ценных бумаг с депозитарного учета - операция, имеющая целью списание ценных бумаг со счета депо с их одновременным списанием в иной иностранный депозитарий (при рыночной стоимости / номинале выводимых ценных бумаг, превышающем 500 тыс. рублей).</w:t>
            </w:r>
          </w:p>
          <w:p w:rsidR="00FE6531" w:rsidRDefault="00FE6531" w:rsidP="003E7F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в) Снятие ценных бумаг с депозитарного учета - операция имеющая целью расчеты по сделкам депонента на условиях «Поставка против платежа», в случае, если сумма сделки указанная в поручении отличается от рыночной стоимости на 20% и более сопоставимого объема указанных ценных бумаг на момент подачи поручения (при рыночной стоимости / номинале выводимых ценных бумаг, превышающем 500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2C71F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2C71FA">
              <w:rPr>
                <w:rFonts w:ascii="Arial" w:hAnsi="Arial" w:cs="Arial"/>
                <w:sz w:val="18"/>
                <w:szCs w:val="18"/>
              </w:rPr>
              <w:t>ублей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.). </w:t>
            </w:r>
          </w:p>
          <w:p w:rsidR="006A5021" w:rsidRDefault="000D49D0" w:rsidP="002F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Тариф, указанный в настоящем пункте, взимается</w:t>
            </w:r>
            <w:r w:rsidR="009B200E" w:rsidRPr="009B2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00E">
              <w:rPr>
                <w:rFonts w:ascii="Arial" w:hAnsi="Arial" w:cs="Arial"/>
                <w:sz w:val="18"/>
                <w:szCs w:val="18"/>
              </w:rPr>
              <w:t xml:space="preserve">только в отношении счетов депо. </w:t>
            </w:r>
          </w:p>
          <w:p w:rsidR="006A5021" w:rsidRDefault="006A5021" w:rsidP="002F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200E" w:rsidRPr="009B200E" w:rsidRDefault="009B200E" w:rsidP="002F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Тариф не применяется в</w:t>
            </w:r>
            <w:r w:rsidRPr="009B200E">
              <w:rPr>
                <w:rFonts w:ascii="Arial" w:hAnsi="Arial" w:cs="Arial"/>
                <w:sz w:val="18"/>
                <w:szCs w:val="18"/>
              </w:rPr>
              <w:t xml:space="preserve"> случае списания с</w:t>
            </w:r>
            <w:r>
              <w:rPr>
                <w:rFonts w:ascii="Arial" w:hAnsi="Arial" w:cs="Arial"/>
                <w:sz w:val="18"/>
                <w:szCs w:val="18"/>
              </w:rPr>
              <w:t>о счета</w:t>
            </w:r>
            <w:r w:rsidRPr="009B200E">
              <w:rPr>
                <w:rFonts w:ascii="Arial" w:hAnsi="Arial" w:cs="Arial"/>
                <w:sz w:val="18"/>
                <w:szCs w:val="18"/>
              </w:rPr>
              <w:t xml:space="preserve"> депо ценных бумаг, учет и хранение которых осуществляется в депозитариях, в отношении которых применяются меры ограничительного характера, введенные со стороны иностранного государства, объединения иностранных государств или международной организации, при условии представления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Депонентом </w:t>
            </w:r>
            <w:r w:rsidRPr="009B200E">
              <w:rPr>
                <w:rFonts w:ascii="Arial" w:hAnsi="Arial" w:cs="Arial"/>
                <w:sz w:val="18"/>
                <w:szCs w:val="18"/>
              </w:rPr>
              <w:t>или его Клиентом/</w:t>
            </w:r>
            <w:proofErr w:type="spellStart"/>
            <w:r w:rsidRPr="009B200E">
              <w:rPr>
                <w:rFonts w:ascii="Arial" w:hAnsi="Arial" w:cs="Arial"/>
                <w:sz w:val="18"/>
                <w:szCs w:val="18"/>
              </w:rPr>
              <w:t>Субклиентом</w:t>
            </w:r>
            <w:proofErr w:type="spellEnd"/>
            <w:r w:rsidRPr="009B200E">
              <w:rPr>
                <w:rFonts w:ascii="Arial" w:hAnsi="Arial" w:cs="Arial"/>
                <w:sz w:val="18"/>
                <w:szCs w:val="18"/>
              </w:rPr>
              <w:t xml:space="preserve"> документов, подтверждающих разрешение на перевод указанных ценных бумаг из  таких депозитариев, выданное компетентн</w:t>
            </w:r>
            <w:r>
              <w:rPr>
                <w:rFonts w:ascii="Arial" w:hAnsi="Arial" w:cs="Arial"/>
                <w:sz w:val="18"/>
                <w:szCs w:val="18"/>
              </w:rPr>
              <w:t>ым органом по выдаче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разрешений</w:t>
            </w:r>
            <w:r w:rsidRPr="009B200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D49D0" w:rsidRPr="009B200E" w:rsidRDefault="000D49D0" w:rsidP="003E7F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6531" w:rsidRPr="002C71FA" w:rsidRDefault="00FE6531" w:rsidP="003E7F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6531" w:rsidRPr="002C71FA" w:rsidRDefault="00FE6531" w:rsidP="003E7FB1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6531" w:rsidRPr="002C71FA" w:rsidRDefault="00FE6531" w:rsidP="003E7F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20 % </w:t>
            </w:r>
            <w:proofErr w:type="gramStart"/>
            <w:r w:rsidRPr="002C71FA">
              <w:rPr>
                <w:rFonts w:ascii="Arial" w:hAnsi="Arial" w:cs="Arial"/>
                <w:sz w:val="18"/>
                <w:szCs w:val="18"/>
              </w:rPr>
              <w:t>от с рыночной стоимости указанных в поручении ценных бумаг в рублях по курсу</w:t>
            </w:r>
            <w:proofErr w:type="gramEnd"/>
            <w:r w:rsidRPr="002C71FA">
              <w:rPr>
                <w:rFonts w:ascii="Arial" w:hAnsi="Arial" w:cs="Arial"/>
                <w:sz w:val="18"/>
                <w:szCs w:val="18"/>
              </w:rPr>
              <w:t>, установленному Банком России на дату подачи поручения на проведение депозитарной операции. Для ценных бумаг, рыночную стоимость которых Депозитарий не может определить, используя имеющиеся у него в наличии информационные ресурсы и торговые системы,  расчет депозитарной комиссии осуществляется исходя не из цены, а из номинала ценной бумаги.</w:t>
            </w:r>
          </w:p>
          <w:p w:rsidR="00172D5A" w:rsidRDefault="00FE6531" w:rsidP="00BC20C9">
            <w:pPr>
              <w:pStyle w:val="aa"/>
              <w:rPr>
                <w:rFonts w:ascii="Arial" w:hAnsi="Arial" w:cs="Arial"/>
                <w:b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Суммарная рыночная стоимость определяется исходя из рыночной цены, рассчитанной на дату подачи поручения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ПАО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«СПБ Биржа» (приоритет 1), рыночной цены (3)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ПАО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Московская Биржа (приоритет 2), цены закрытия, транслируемой иностранной биржей и информационными системами (приоритет 3) на дату подачи поручения на списание ценных бумаг.</w:t>
            </w:r>
            <w:r w:rsidR="000A61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1FA">
              <w:rPr>
                <w:rFonts w:ascii="Arial" w:hAnsi="Arial" w:cs="Arial"/>
                <w:b/>
                <w:sz w:val="18"/>
                <w:szCs w:val="18"/>
              </w:rPr>
              <w:t>Оплата авансовая.</w:t>
            </w:r>
          </w:p>
          <w:p w:rsidR="000A61C0" w:rsidRDefault="000A61C0" w:rsidP="003E7F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A61C0" w:rsidRPr="002C71FA" w:rsidRDefault="000A61C0" w:rsidP="003E7F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C0">
              <w:rPr>
                <w:rFonts w:ascii="Arial" w:hAnsi="Arial" w:cs="Arial"/>
                <w:i/>
                <w:sz w:val="18"/>
                <w:szCs w:val="18"/>
              </w:rPr>
              <w:t>С 16.01.2024 по 31.12.2024 введен маркетинговый  период для операций по счетам депо типа «</w:t>
            </w:r>
            <w:r w:rsidRPr="000A61C0">
              <w:rPr>
                <w:rFonts w:ascii="Arial" w:hAnsi="Arial" w:cs="Arial"/>
                <w:i/>
                <w:sz w:val="18"/>
                <w:szCs w:val="18"/>
                <w:lang w:val="en-US"/>
              </w:rPr>
              <w:t>Y</w:t>
            </w:r>
            <w:r w:rsidRPr="000A61C0">
              <w:rPr>
                <w:rFonts w:ascii="Arial" w:hAnsi="Arial" w:cs="Arial"/>
                <w:i/>
                <w:sz w:val="18"/>
                <w:szCs w:val="18"/>
              </w:rPr>
              <w:t>», в течение которого не взимается плата за проведение инвентарных операций.</w:t>
            </w:r>
          </w:p>
        </w:tc>
      </w:tr>
      <w:tr w:rsidR="00FE6531" w:rsidRPr="002C71FA" w:rsidTr="003E7FB1">
        <w:trPr>
          <w:trHeight w:hRule="exact" w:val="835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640"/>
                <w:tab w:val="left" w:pos="782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529" w:type="dxa"/>
            <w:gridSpan w:val="4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Инвентарные депозитарные операции по счету депо по переводу ценных бумаг между счетами «депо» одного Депонента Депозитария, между  разделами счета депо Депонента. </w:t>
            </w:r>
          </w:p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комиссии***</w:t>
            </w:r>
          </w:p>
        </w:tc>
      </w:tr>
      <w:tr w:rsidR="00FE6531" w:rsidRPr="002C71FA" w:rsidTr="003E7FB1">
        <w:trPr>
          <w:trHeight w:hRule="exact" w:val="706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640"/>
                <w:tab w:val="left" w:pos="782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5529" w:type="dxa"/>
            <w:gridSpan w:val="4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Инвентарные депозитарные операции по счету депо по - переводу ценных бумаг между счетами депо Депонентов Депозитария внутри Депозитария.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80 за операцию</w:t>
            </w:r>
          </w:p>
        </w:tc>
      </w:tr>
      <w:tr w:rsidR="00FE6531" w:rsidRPr="002C71FA" w:rsidTr="003E7FB1">
        <w:trPr>
          <w:trHeight w:hRule="exact" w:val="291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640"/>
                <w:tab w:val="left" w:pos="782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529" w:type="dxa"/>
            <w:gridSpan w:val="4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Отмена поручения Депонента (Попечителя/Оператора)</w:t>
            </w:r>
          </w:p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2 000 / за поручение</w:t>
            </w:r>
          </w:p>
        </w:tc>
      </w:tr>
      <w:tr w:rsidR="00FE6531" w:rsidRPr="002C71FA" w:rsidTr="003E7FB1">
        <w:trPr>
          <w:trHeight w:hRule="exact" w:val="27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640"/>
                <w:tab w:val="left" w:pos="782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Инвентарные операции по счету депо для расчетов по итогам совершенных внебиржевых сделок «поставка против платежа» (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DVP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), за исключением случаев указанных в пункте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7.4.в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>) Тарифов.</w:t>
            </w:r>
          </w:p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При определении стоимости операции «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back</w:t>
            </w:r>
            <w:r w:rsidRPr="002C71FA">
              <w:rPr>
                <w:rFonts w:ascii="Arial" w:hAnsi="Arial" w:cs="Arial"/>
                <w:sz w:val="18"/>
                <w:szCs w:val="18"/>
              </w:rPr>
              <w:t>-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to</w:t>
            </w:r>
            <w:r w:rsidRPr="002C71FA">
              <w:rPr>
                <w:rFonts w:ascii="Arial" w:hAnsi="Arial" w:cs="Arial"/>
                <w:sz w:val="18"/>
                <w:szCs w:val="18"/>
              </w:rPr>
              <w:t>-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back</w:t>
            </w:r>
            <w:r w:rsidRPr="002C71FA">
              <w:rPr>
                <w:rFonts w:ascii="Arial" w:hAnsi="Arial" w:cs="Arial"/>
                <w:sz w:val="18"/>
                <w:szCs w:val="18"/>
              </w:rPr>
              <w:t xml:space="preserve">» стоимость проведенной операции рассчитывается как стоимость за одну инвентарную операцию  по счету депо для расчетов по итогам совершенных внебиржевых сделок «поставка против платежа», умноженную на количество </w:t>
            </w:r>
            <w:proofErr w:type="gramStart"/>
            <w:r w:rsidRPr="002C71FA">
              <w:rPr>
                <w:rFonts w:ascii="Arial" w:hAnsi="Arial" w:cs="Arial"/>
                <w:sz w:val="18"/>
                <w:szCs w:val="18"/>
              </w:rPr>
              <w:t>поручений</w:t>
            </w:r>
            <w:proofErr w:type="gramEnd"/>
            <w:r w:rsidRPr="002C71FA">
              <w:rPr>
                <w:rFonts w:ascii="Arial" w:hAnsi="Arial" w:cs="Arial"/>
                <w:sz w:val="18"/>
                <w:szCs w:val="18"/>
              </w:rPr>
              <w:t xml:space="preserve"> на осуществление операций на условиях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DVP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>, переданных Депозитарию Депонентом, для проведения такой операции  «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back</w:t>
            </w:r>
            <w:r w:rsidRPr="002C71FA">
              <w:rPr>
                <w:rFonts w:ascii="Arial" w:hAnsi="Arial" w:cs="Arial"/>
                <w:sz w:val="18"/>
                <w:szCs w:val="18"/>
              </w:rPr>
              <w:t>-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to</w:t>
            </w:r>
            <w:r w:rsidRPr="002C71FA">
              <w:rPr>
                <w:rFonts w:ascii="Arial" w:hAnsi="Arial" w:cs="Arial"/>
                <w:sz w:val="18"/>
                <w:szCs w:val="18"/>
              </w:rPr>
              <w:t>-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back</w:t>
            </w:r>
            <w:r w:rsidRPr="002C71FA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1000 /за операцию***</w:t>
            </w:r>
          </w:p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531" w:rsidRPr="002C71FA" w:rsidTr="003E7FB1">
        <w:trPr>
          <w:trHeight w:hRule="exact" w:val="702"/>
        </w:trPr>
        <w:tc>
          <w:tcPr>
            <w:tcW w:w="1134" w:type="dxa"/>
          </w:tcPr>
          <w:p w:rsidR="00FE6531" w:rsidRPr="002C71FA" w:rsidRDefault="00FE6531" w:rsidP="003E7FB1">
            <w:pPr>
              <w:tabs>
                <w:tab w:val="left" w:pos="72"/>
                <w:tab w:val="left" w:pos="640"/>
                <w:tab w:val="left" w:pos="782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529" w:type="dxa"/>
            <w:gridSpan w:val="4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Зачисление или списание ценных бумаг по поручению Депонента, требующему исполнение в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МРКЦ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450 за каждый выпуск ценных бумаг в поручении </w:t>
            </w:r>
          </w:p>
        </w:tc>
      </w:tr>
      <w:tr w:rsidR="00FE6531" w:rsidRPr="002C71FA" w:rsidTr="003E7FB1">
        <w:trPr>
          <w:trHeight w:hRule="exact" w:val="887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790" w:type="dxa"/>
            <w:gridSpan w:val="8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pStyle w:val="BodyTextIndent21"/>
              <w:keepNext/>
              <w:spacing w:before="120" w:after="120"/>
              <w:ind w:left="72" w:firstLine="0"/>
              <w:jc w:val="both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Плата за услуги по хранению и /или учету прав на ценные бумаги (для физических и юридических лиц) </w:t>
            </w:r>
            <w:r w:rsidRPr="002C71FA">
              <w:rPr>
                <w:rFonts w:ascii="Arial" w:eastAsiaTheme="minorEastAsia" w:hAnsi="Arial" w:cs="Arial"/>
                <w:b w:val="0"/>
                <w:sz w:val="18"/>
                <w:szCs w:val="18"/>
                <w:lang w:eastAsia="ja-JP"/>
              </w:rPr>
              <w:t xml:space="preserve">кроме кредитных организаций для которых открыты индивидуальные счета в вышестоящих депозитариях </w:t>
            </w:r>
          </w:p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531" w:rsidRPr="002C71FA" w:rsidTr="003E7FB1">
        <w:trPr>
          <w:trHeight w:hRule="exact" w:val="6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для государственных,  муниципальных, корпоративных облигаций по ценным бумагам, выпущенным в соответствии с законодательством Российской Федерации:</w:t>
            </w:r>
          </w:p>
        </w:tc>
      </w:tr>
      <w:tr w:rsidR="00FE6531" w:rsidRPr="002C71FA" w:rsidTr="003E7FB1">
        <w:trPr>
          <w:trHeight w:hRule="exact" w:val="8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(руб.)*</w:t>
            </w:r>
            <w:r w:rsidR="00B426C4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До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Ставка % </w:t>
            </w:r>
            <w:proofErr w:type="gramStart"/>
            <w:r w:rsidRPr="002C71FA">
              <w:rPr>
                <w:rFonts w:ascii="Arial" w:hAnsi="Arial" w:cs="Arial"/>
                <w:sz w:val="18"/>
                <w:szCs w:val="18"/>
              </w:rPr>
              <w:t>годовых</w:t>
            </w:r>
            <w:proofErr w:type="gramEnd"/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5 000 000 000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0,0230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10 000 000 000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0,0200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30 000 000 000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30 000 000 000,01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0,0150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125 000 000 000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0,0140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125 000 000 000,01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500 000 000 000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0,0120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500 000 000 000,01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1 000 000 000 000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0,0120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1 000 000 000 000,01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1 500 000 000 000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0,0115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1 500 000 000 000,01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0,0110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1 800 000 000 000,01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2 000 000 000 000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0,0105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2 000 000 000 000</w:t>
            </w:r>
            <w:r w:rsidRPr="002C71FA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0,0100</w:t>
            </w:r>
          </w:p>
        </w:tc>
      </w:tr>
      <w:tr w:rsidR="00FE6531" w:rsidRPr="002C71FA" w:rsidTr="003E7FB1">
        <w:trPr>
          <w:trHeight w:hRule="exact" w:val="7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611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для  - акций, инвестиционных паев по ценным бумагам, выпущенным в соответствии с законодательством Российской Федерации:</w:t>
            </w:r>
          </w:p>
        </w:tc>
      </w:tr>
      <w:tr w:rsidR="00FE6531" w:rsidRPr="002C71FA" w:rsidTr="003E7FB1">
        <w:trPr>
          <w:trHeight w:hRule="exact" w:val="781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(руб.)*</w:t>
            </w:r>
            <w:r w:rsidR="00B426C4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FE6531" w:rsidRPr="002C71FA" w:rsidTr="003E7FB1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До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Ставка % </w:t>
            </w:r>
            <w:proofErr w:type="gramStart"/>
            <w:r w:rsidRPr="002C71FA">
              <w:rPr>
                <w:rFonts w:ascii="Arial" w:hAnsi="Arial" w:cs="Arial"/>
                <w:sz w:val="18"/>
                <w:szCs w:val="18"/>
              </w:rPr>
              <w:t>годовых</w:t>
            </w:r>
            <w:proofErr w:type="gramEnd"/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0,0115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0,0113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20 000 000 000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0,0110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30 000 000 000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0,0105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30 000 000 000,01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50 000 000 000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0,0095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125 000 000 000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0,0085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125 000 000 000,01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500 000 000 000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0,0068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500 000 000 000,01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1 000 000 000 000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0,0068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1 000 000 000 000,01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1 500 000 000 000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0,0050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1 500 000 000 000,01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1 800 000 000 000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0,0040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1 800 000 000 000,01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2 000 000 000 000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0,0028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3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2 000 000 000 000</w:t>
            </w:r>
            <w:r w:rsidRPr="002C71FA">
              <w:rPr>
                <w:rFonts w:ascii="Arial" w:hAnsi="Arial" w:cs="Arial"/>
                <w:sz w:val="18"/>
                <w:szCs w:val="18"/>
              </w:rPr>
              <w:t>,01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0,0025</w:t>
            </w:r>
          </w:p>
        </w:tc>
      </w:tr>
      <w:tr w:rsidR="00FE6531" w:rsidRPr="002C71FA" w:rsidTr="003E7FB1">
        <w:trPr>
          <w:trHeight w:hRule="exact" w:val="696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790" w:type="dxa"/>
            <w:gridSpan w:val="8"/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для - облигаций, учитываемых в международных депозитариях:</w:t>
            </w:r>
          </w:p>
        </w:tc>
      </w:tr>
      <w:tr w:rsidR="00FE6531" w:rsidRPr="002C71FA" w:rsidTr="003E7FB1">
        <w:trPr>
          <w:trHeight w:hRule="exact" w:val="696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6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(рублей)*</w:t>
            </w:r>
            <w:r w:rsidR="00B426C4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36" w:type="dxa"/>
            <w:gridSpan w:val="2"/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FE6531" w:rsidRPr="002C71FA" w:rsidTr="003E7FB1">
        <w:trPr>
          <w:trHeight w:hRule="exact" w:val="446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До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Ставка % годовых, мин. 300  рублей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100 000 000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0,01896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100 000 000,01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500 000 000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0,01896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500 000 000,01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1 000 000 000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0,01896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1 000 000 000,01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5 000 000 000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0,01548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5 000 000 000,01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10 000 000 000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0,01440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10 000 000 000,01</w:t>
            </w:r>
          </w:p>
        </w:tc>
        <w:tc>
          <w:tcPr>
            <w:tcW w:w="2693" w:type="dxa"/>
            <w:gridSpan w:val="5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20 000 000 000 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0,01440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6"/>
            <w:vAlign w:val="center"/>
          </w:tcPr>
          <w:p w:rsidR="00FE6531" w:rsidRPr="002C71FA" w:rsidRDefault="00FE6531" w:rsidP="003E7FB1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20 000 000 000,01</w:t>
            </w:r>
          </w:p>
        </w:tc>
        <w:tc>
          <w:tcPr>
            <w:tcW w:w="2836" w:type="dxa"/>
            <w:gridSpan w:val="2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0,00864</w:t>
            </w:r>
          </w:p>
        </w:tc>
      </w:tr>
      <w:tr w:rsidR="00FE6531" w:rsidRPr="002C71FA" w:rsidTr="003E7FB1">
        <w:trPr>
          <w:trHeight w:hRule="exact" w:val="696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790" w:type="dxa"/>
            <w:gridSpan w:val="8"/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(за исключением облигаций), учитываемых в международных депозитариях:</w:t>
            </w:r>
          </w:p>
        </w:tc>
      </w:tr>
      <w:tr w:rsidR="00FE6531" w:rsidRPr="002C71FA" w:rsidTr="003E7FB1">
        <w:trPr>
          <w:trHeight w:hRule="exact" w:val="865"/>
        </w:trPr>
        <w:tc>
          <w:tcPr>
            <w:tcW w:w="1134" w:type="dxa"/>
            <w:tcBorders>
              <w:bottom w:val="single" w:sz="4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(рублей)*</w:t>
            </w:r>
            <w:r w:rsidR="00B426C4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FE6531" w:rsidRPr="002C71FA" w:rsidRDefault="00FE653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FE6531" w:rsidRPr="002C71FA" w:rsidTr="003E7FB1">
        <w:trPr>
          <w:trHeight w:hRule="exact" w:val="6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531" w:rsidRPr="002C71FA" w:rsidRDefault="00FE653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До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Ставка % годовых, мин. 300  рублей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500 000 000,01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1 150 000 000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1 150 000 000, 01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2 500 000 000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0,020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2 500 000 000, 01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5 000 000 000,01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6 000 000 000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6 000 000 000,01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10 000 000 000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</w:t>
            </w:r>
          </w:p>
        </w:tc>
      </w:tr>
      <w:tr w:rsidR="00FE653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10 000 000 000,01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20 000 000 000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</w:t>
            </w:r>
          </w:p>
        </w:tc>
      </w:tr>
      <w:tr w:rsidR="00FE653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31" w:rsidRPr="002C71FA" w:rsidRDefault="00FE653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531" w:rsidRPr="002C71FA" w:rsidRDefault="00FE6531" w:rsidP="003E7FB1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20 000 000 000,01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6531" w:rsidRPr="002C71FA" w:rsidRDefault="00FE6531" w:rsidP="003E7FB1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</w:t>
            </w:r>
          </w:p>
        </w:tc>
      </w:tr>
    </w:tbl>
    <w:p w:rsidR="00FE6531" w:rsidRPr="002C71FA" w:rsidRDefault="00FE6531" w:rsidP="00FE653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0"/>
        <w:gridCol w:w="2673"/>
        <w:gridCol w:w="22"/>
        <w:gridCol w:w="2814"/>
      </w:tblGrid>
      <w:tr w:rsidR="003E7FB1" w:rsidRPr="002C71FA" w:rsidTr="00F6516B">
        <w:trPr>
          <w:trHeight w:hRule="exact" w:val="912"/>
        </w:trPr>
        <w:tc>
          <w:tcPr>
            <w:tcW w:w="1134" w:type="dxa"/>
            <w:tcBorders>
              <w:bottom w:val="single" w:sz="4" w:space="0" w:color="auto"/>
            </w:tcBorders>
          </w:tcPr>
          <w:p w:rsidR="003E7FB1" w:rsidRPr="00F6516B" w:rsidRDefault="003E7FB1" w:rsidP="00184DF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8.</w:t>
            </w:r>
            <w:r w:rsidR="00A662A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790" w:type="dxa"/>
            <w:gridSpan w:val="5"/>
          </w:tcPr>
          <w:p w:rsidR="003E7FB1" w:rsidRPr="002C71FA" w:rsidRDefault="003E7FB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для - облигаций, учитываемых в международных депозитариях</w:t>
            </w:r>
            <w:r w:rsidR="00B36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хранение</w:t>
            </w:r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</w:t>
            </w:r>
            <w:r w:rsidR="00B36501" w:rsidRPr="0020332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B36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или учет прав на которые осуществляется Депозитарием по результатам заключения Депонентом договоров  </w:t>
            </w:r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Внебиржевом рынке </w:t>
            </w:r>
            <w:proofErr w:type="spellStart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>International</w:t>
            </w:r>
            <w:proofErr w:type="spellEnd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Trading System (</w:t>
            </w:r>
            <w:proofErr w:type="spellStart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>ITS</w:t>
            </w:r>
            <w:proofErr w:type="spellEnd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E7FB1" w:rsidRPr="002C71FA" w:rsidTr="003E7FB1">
        <w:trPr>
          <w:trHeight w:hRule="exact" w:val="696"/>
        </w:trPr>
        <w:tc>
          <w:tcPr>
            <w:tcW w:w="1134" w:type="dxa"/>
            <w:tcBorders>
              <w:bottom w:val="single" w:sz="4" w:space="0" w:color="auto"/>
            </w:tcBorders>
          </w:tcPr>
          <w:p w:rsidR="003E7FB1" w:rsidRPr="002C71FA" w:rsidRDefault="003E7FB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:rsidR="003E7FB1" w:rsidRPr="002C71FA" w:rsidRDefault="003E7FB1" w:rsidP="00184D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</w:t>
            </w:r>
            <w:r w:rsidR="00EA42D7" w:rsidRPr="002C71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доллары США, </w:t>
            </w:r>
            <w:r w:rsidR="00EA42D7" w:rsidRPr="002C7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USD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  <w:r w:rsidR="00B426C4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36" w:type="dxa"/>
            <w:gridSpan w:val="2"/>
          </w:tcPr>
          <w:p w:rsidR="003E7FB1" w:rsidRPr="002C71FA" w:rsidRDefault="003E7FB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3E7FB1" w:rsidRPr="002C71FA" w:rsidTr="003E7FB1">
        <w:trPr>
          <w:trHeight w:hRule="exact" w:val="446"/>
        </w:trPr>
        <w:tc>
          <w:tcPr>
            <w:tcW w:w="1134" w:type="dxa"/>
            <w:tcBorders>
              <w:bottom w:val="single" w:sz="4" w:space="0" w:color="auto"/>
            </w:tcBorders>
          </w:tcPr>
          <w:p w:rsidR="003E7FB1" w:rsidRPr="002C71FA" w:rsidRDefault="003E7FB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E7FB1" w:rsidRPr="002C71FA" w:rsidRDefault="003E7FB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693" w:type="dxa"/>
            <w:gridSpan w:val="2"/>
            <w:vAlign w:val="center"/>
          </w:tcPr>
          <w:p w:rsidR="003E7FB1" w:rsidRPr="002C71FA" w:rsidRDefault="003E7FB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До</w:t>
            </w:r>
          </w:p>
        </w:tc>
        <w:tc>
          <w:tcPr>
            <w:tcW w:w="2836" w:type="dxa"/>
            <w:gridSpan w:val="2"/>
            <w:vAlign w:val="center"/>
          </w:tcPr>
          <w:p w:rsidR="003E7FB1" w:rsidRPr="002C71FA" w:rsidRDefault="003E7FB1" w:rsidP="00184DF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Ставка % годовых, мин. </w:t>
            </w:r>
            <w:r w:rsidR="00184DF1" w:rsidRPr="002C71FA">
              <w:rPr>
                <w:rFonts w:ascii="Arial" w:hAnsi="Arial" w:cs="Arial"/>
                <w:sz w:val="18"/>
                <w:szCs w:val="18"/>
                <w:lang w:val="en-US"/>
              </w:rPr>
              <w:t>5 $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184DF1" w:rsidRPr="002C71FA" w:rsidRDefault="00184DF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2C71FA">
              <w:rPr>
                <w:rFonts w:ascii="Arial" w:hAnsi="Arial" w:cs="Arial"/>
                <w:sz w:val="18"/>
                <w:szCs w:val="18"/>
              </w:rPr>
              <w:t xml:space="preserve">5 000 000 </w:t>
            </w:r>
          </w:p>
        </w:tc>
        <w:tc>
          <w:tcPr>
            <w:tcW w:w="2836" w:type="dxa"/>
            <w:gridSpan w:val="2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0,01896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184DF1" w:rsidRPr="002C71FA" w:rsidRDefault="00184DF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2C71FA">
              <w:rPr>
                <w:rFonts w:ascii="Arial" w:hAnsi="Arial" w:cs="Arial"/>
                <w:sz w:val="18"/>
                <w:szCs w:val="18"/>
              </w:rPr>
              <w:t>5 000 000,01</w:t>
            </w:r>
          </w:p>
        </w:tc>
        <w:tc>
          <w:tcPr>
            <w:tcW w:w="2693" w:type="dxa"/>
            <w:gridSpan w:val="2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145 000 000.00</w:t>
            </w:r>
          </w:p>
        </w:tc>
        <w:tc>
          <w:tcPr>
            <w:tcW w:w="2836" w:type="dxa"/>
            <w:gridSpan w:val="2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0,01896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184DF1" w:rsidRPr="002C71FA" w:rsidRDefault="00184DF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145 </w:t>
            </w:r>
            <w:r w:rsidRPr="002C71FA">
              <w:rPr>
                <w:rFonts w:ascii="Arial" w:hAnsi="Arial" w:cs="Arial"/>
                <w:sz w:val="18"/>
                <w:szCs w:val="18"/>
              </w:rPr>
              <w:t>000 000,01</w:t>
            </w:r>
          </w:p>
        </w:tc>
        <w:tc>
          <w:tcPr>
            <w:tcW w:w="2693" w:type="dxa"/>
            <w:gridSpan w:val="2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  <w:r w:rsidRPr="002C71FA">
              <w:rPr>
                <w:rFonts w:ascii="Arial" w:hAnsi="Arial" w:cs="Arial"/>
                <w:sz w:val="18"/>
                <w:szCs w:val="18"/>
              </w:rPr>
              <w:t>  000 000</w:t>
            </w:r>
          </w:p>
        </w:tc>
        <w:tc>
          <w:tcPr>
            <w:tcW w:w="2836" w:type="dxa"/>
            <w:gridSpan w:val="2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0,01896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184DF1" w:rsidRPr="002C71FA" w:rsidRDefault="00184DF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 xml:space="preserve">85 </w:t>
            </w:r>
            <w:r w:rsidRPr="002C71FA">
              <w:rPr>
                <w:rFonts w:ascii="Arial" w:hAnsi="Arial" w:cs="Arial"/>
                <w:sz w:val="18"/>
                <w:szCs w:val="18"/>
              </w:rPr>
              <w:t>000 000,01</w:t>
            </w:r>
          </w:p>
        </w:tc>
        <w:tc>
          <w:tcPr>
            <w:tcW w:w="2693" w:type="dxa"/>
            <w:gridSpan w:val="2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425</w:t>
            </w:r>
            <w:r w:rsidRPr="002C71FA">
              <w:rPr>
                <w:rFonts w:ascii="Arial" w:hAnsi="Arial" w:cs="Arial"/>
                <w:sz w:val="18"/>
                <w:szCs w:val="18"/>
              </w:rPr>
              <w:t> 000 000</w:t>
            </w:r>
          </w:p>
        </w:tc>
        <w:tc>
          <w:tcPr>
            <w:tcW w:w="2836" w:type="dxa"/>
            <w:gridSpan w:val="2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0,01548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184DF1" w:rsidRPr="002C71FA" w:rsidRDefault="00184DF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425</w:t>
            </w:r>
            <w:r w:rsidRPr="002C71FA">
              <w:rPr>
                <w:rFonts w:ascii="Arial" w:hAnsi="Arial" w:cs="Arial"/>
                <w:sz w:val="18"/>
                <w:szCs w:val="18"/>
              </w:rPr>
              <w:t> 000 000,01</w:t>
            </w:r>
          </w:p>
        </w:tc>
        <w:tc>
          <w:tcPr>
            <w:tcW w:w="2693" w:type="dxa"/>
            <w:gridSpan w:val="2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700 000 000</w:t>
            </w:r>
          </w:p>
        </w:tc>
        <w:tc>
          <w:tcPr>
            <w:tcW w:w="2836" w:type="dxa"/>
            <w:gridSpan w:val="2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0,01440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184DF1" w:rsidRPr="002C71FA" w:rsidRDefault="00184DF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 xml:space="preserve">700 </w:t>
            </w:r>
            <w:r w:rsidRPr="002C71FA">
              <w:rPr>
                <w:rFonts w:ascii="Arial" w:hAnsi="Arial" w:cs="Arial"/>
                <w:sz w:val="18"/>
                <w:szCs w:val="18"/>
              </w:rPr>
              <w:t>000 000,01</w:t>
            </w:r>
          </w:p>
        </w:tc>
        <w:tc>
          <w:tcPr>
            <w:tcW w:w="2693" w:type="dxa"/>
            <w:gridSpan w:val="2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1 800 000 000</w:t>
            </w:r>
          </w:p>
        </w:tc>
        <w:tc>
          <w:tcPr>
            <w:tcW w:w="2836" w:type="dxa"/>
            <w:gridSpan w:val="2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0,01440</w:t>
            </w:r>
          </w:p>
        </w:tc>
      </w:tr>
      <w:tr w:rsidR="003E7FB1" w:rsidRPr="002C71FA" w:rsidTr="003E7FB1">
        <w:trPr>
          <w:trHeight w:hRule="exact"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3E7FB1" w:rsidRPr="002C71FA" w:rsidRDefault="003E7FB1" w:rsidP="003E7FB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3E7FB1" w:rsidRPr="002C71FA" w:rsidRDefault="00184DF1" w:rsidP="003E7FB1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1 800 000 000</w:t>
            </w:r>
            <w:r w:rsidR="003E7FB1" w:rsidRPr="002C71FA">
              <w:rPr>
                <w:rFonts w:ascii="Arial" w:hAnsi="Arial" w:cs="Arial"/>
                <w:sz w:val="18"/>
                <w:szCs w:val="18"/>
              </w:rPr>
              <w:t>,01</w:t>
            </w:r>
          </w:p>
        </w:tc>
        <w:tc>
          <w:tcPr>
            <w:tcW w:w="2836" w:type="dxa"/>
            <w:gridSpan w:val="2"/>
            <w:vAlign w:val="center"/>
          </w:tcPr>
          <w:p w:rsidR="003E7FB1" w:rsidRPr="002C71FA" w:rsidRDefault="003E7FB1" w:rsidP="003E7FB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0,00864</w:t>
            </w:r>
          </w:p>
        </w:tc>
      </w:tr>
      <w:tr w:rsidR="003E7FB1" w:rsidRPr="002C71FA" w:rsidTr="00F6516B">
        <w:trPr>
          <w:trHeight w:hRule="exact" w:val="882"/>
        </w:trPr>
        <w:tc>
          <w:tcPr>
            <w:tcW w:w="1134" w:type="dxa"/>
            <w:tcBorders>
              <w:bottom w:val="single" w:sz="4" w:space="0" w:color="auto"/>
            </w:tcBorders>
          </w:tcPr>
          <w:p w:rsidR="003E7FB1" w:rsidRPr="00F6516B" w:rsidRDefault="003E7FB1" w:rsidP="00184DF1">
            <w:pPr>
              <w:tabs>
                <w:tab w:val="left" w:pos="0"/>
                <w:tab w:val="left" w:pos="640"/>
              </w:tabs>
              <w:ind w:right="71" w:firstLine="214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8.</w:t>
            </w:r>
            <w:r w:rsidR="00A662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90" w:type="dxa"/>
            <w:gridSpan w:val="5"/>
          </w:tcPr>
          <w:p w:rsidR="003E7FB1" w:rsidRPr="002C71FA" w:rsidRDefault="003E7FB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(за исключением облигаций), учитываемых в международных депозитариях</w:t>
            </w:r>
            <w:r w:rsidR="00B36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хранение</w:t>
            </w:r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</w:t>
            </w:r>
            <w:r w:rsidR="00B36501" w:rsidRPr="0020332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B36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или учет прав на которые осуществляется Депозитарием по результатам заключения Депонентом договоров  </w:t>
            </w:r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Внебиржевом рынке </w:t>
            </w:r>
            <w:proofErr w:type="spellStart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>International</w:t>
            </w:r>
            <w:proofErr w:type="spellEnd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Trading System (</w:t>
            </w:r>
            <w:proofErr w:type="spellStart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>ITS</w:t>
            </w:r>
            <w:proofErr w:type="spellEnd"/>
            <w:r w:rsidR="00B36501" w:rsidRPr="000B2E22">
              <w:rPr>
                <w:rFonts w:ascii="Arial" w:hAnsi="Arial" w:cs="Arial"/>
                <w:b/>
                <w:bCs/>
                <w:sz w:val="18"/>
                <w:szCs w:val="18"/>
              </w:rPr>
              <w:t>))</w:t>
            </w:r>
            <w:r w:rsidR="00B36501"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</w:p>
        </w:tc>
      </w:tr>
      <w:tr w:rsidR="003E7FB1" w:rsidRPr="002C71FA" w:rsidTr="003E7FB1">
        <w:trPr>
          <w:trHeight w:hRule="exact" w:val="865"/>
        </w:trPr>
        <w:tc>
          <w:tcPr>
            <w:tcW w:w="1134" w:type="dxa"/>
            <w:tcBorders>
              <w:bottom w:val="single" w:sz="4" w:space="0" w:color="auto"/>
            </w:tcBorders>
          </w:tcPr>
          <w:p w:rsidR="003E7FB1" w:rsidRPr="002C71FA" w:rsidRDefault="003E7FB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  <w:gridSpan w:val="4"/>
            <w:tcBorders>
              <w:right w:val="single" w:sz="4" w:space="0" w:color="auto"/>
            </w:tcBorders>
          </w:tcPr>
          <w:p w:rsidR="0012527B" w:rsidRDefault="00B426C4" w:rsidP="00F6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3E7FB1"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</w:t>
            </w:r>
            <w:r w:rsidR="00EA42D7" w:rsidRPr="002C71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доллары США, </w:t>
            </w:r>
            <w:r w:rsidR="00EA42D7" w:rsidRPr="002C7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USD</w:t>
            </w:r>
            <w:r w:rsidR="003E7FB1"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E7FB1" w:rsidRPr="002C71FA" w:rsidRDefault="003E7FB1" w:rsidP="003E7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3E7FB1" w:rsidRPr="002C71FA" w:rsidTr="003E7FB1">
        <w:trPr>
          <w:trHeight w:hRule="exact" w:val="6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FB1" w:rsidRPr="002C71FA" w:rsidRDefault="003E7FB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1" w:rsidRPr="002C71FA" w:rsidRDefault="003E7FB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FB1" w:rsidRPr="002C71FA" w:rsidRDefault="003E7FB1" w:rsidP="003E7FB1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До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FB1" w:rsidRPr="002C71FA" w:rsidRDefault="003E7FB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Ставка % годовых, </w:t>
            </w:r>
            <w:r w:rsidR="005002C9" w:rsidRPr="002C71FA">
              <w:rPr>
                <w:rFonts w:ascii="Arial" w:hAnsi="Arial" w:cs="Arial"/>
                <w:sz w:val="18"/>
                <w:szCs w:val="18"/>
              </w:rPr>
              <w:t xml:space="preserve">мин. </w:t>
            </w:r>
            <w:r w:rsidR="005002C9" w:rsidRPr="002C71FA">
              <w:rPr>
                <w:rFonts w:ascii="Arial" w:hAnsi="Arial" w:cs="Arial"/>
                <w:sz w:val="18"/>
                <w:szCs w:val="18"/>
                <w:lang w:val="en-US"/>
              </w:rPr>
              <w:t>5 $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2C71FA">
              <w:rPr>
                <w:rFonts w:ascii="Arial" w:hAnsi="Arial" w:cs="Arial"/>
                <w:sz w:val="18"/>
                <w:szCs w:val="18"/>
              </w:rPr>
              <w:t xml:space="preserve">5 000 000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2C71FA">
              <w:rPr>
                <w:rFonts w:ascii="Arial" w:hAnsi="Arial" w:cs="Arial"/>
                <w:sz w:val="18"/>
                <w:szCs w:val="18"/>
              </w:rPr>
              <w:t>5 000 000,01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145 000 000.00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145 </w:t>
            </w:r>
            <w:r w:rsidRPr="002C71FA">
              <w:rPr>
                <w:rFonts w:ascii="Arial" w:hAnsi="Arial" w:cs="Arial"/>
                <w:sz w:val="18"/>
                <w:szCs w:val="18"/>
              </w:rPr>
              <w:t>000 000,01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  <w:r w:rsidRPr="002C71FA">
              <w:rPr>
                <w:rFonts w:ascii="Arial" w:hAnsi="Arial" w:cs="Arial"/>
                <w:sz w:val="18"/>
                <w:szCs w:val="18"/>
              </w:rPr>
              <w:t> 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</w:t>
            </w: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 xml:space="preserve">85 </w:t>
            </w:r>
            <w:r w:rsidRPr="002C71FA">
              <w:rPr>
                <w:rFonts w:ascii="Arial" w:hAnsi="Arial" w:cs="Arial"/>
                <w:sz w:val="18"/>
                <w:szCs w:val="18"/>
              </w:rPr>
              <w:t>000 000,01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425</w:t>
            </w:r>
            <w:r w:rsidRPr="002C71FA">
              <w:rPr>
                <w:rFonts w:ascii="Arial" w:hAnsi="Arial" w:cs="Arial"/>
                <w:sz w:val="18"/>
                <w:szCs w:val="18"/>
              </w:rPr>
              <w:t>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0,020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425</w:t>
            </w:r>
            <w:r w:rsidRPr="002C71FA">
              <w:rPr>
                <w:rFonts w:ascii="Arial" w:hAnsi="Arial" w:cs="Arial"/>
                <w:sz w:val="18"/>
                <w:szCs w:val="18"/>
              </w:rPr>
              <w:t> 000 000,01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>700 000 000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val="en-US"/>
              </w:rPr>
              <w:t xml:space="preserve">700 </w:t>
            </w:r>
            <w:r w:rsidRPr="002C71FA">
              <w:rPr>
                <w:rFonts w:ascii="Arial" w:hAnsi="Arial" w:cs="Arial"/>
                <w:sz w:val="18"/>
                <w:szCs w:val="18"/>
              </w:rPr>
              <w:t>000 000,01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1 800 000 000,01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4 000 000 000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</w:t>
            </w:r>
          </w:p>
        </w:tc>
      </w:tr>
      <w:tr w:rsidR="00184DF1" w:rsidRPr="002C71FA" w:rsidTr="003E7FB1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4 000 000 000,01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14 000 000 000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</w:t>
            </w:r>
          </w:p>
        </w:tc>
      </w:tr>
      <w:tr w:rsidR="00184DF1" w:rsidRPr="002C71FA" w:rsidTr="003E7FB1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DF1" w:rsidRPr="002C71FA" w:rsidRDefault="00184DF1" w:rsidP="003E7FB1">
            <w:pPr>
              <w:tabs>
                <w:tab w:val="left" w:pos="72"/>
                <w:tab w:val="left" w:pos="498"/>
                <w:tab w:val="left" w:pos="611"/>
              </w:tabs>
              <w:ind w:right="355" w:firstLine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14 000 000 000,01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DF1" w:rsidRPr="002C71FA" w:rsidRDefault="00184DF1" w:rsidP="00EA42D7">
            <w:pPr>
              <w:pStyle w:val="a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0,016</w:t>
            </w:r>
          </w:p>
        </w:tc>
      </w:tr>
    </w:tbl>
    <w:p w:rsidR="003E7FB1" w:rsidRPr="002C71FA" w:rsidRDefault="003E7FB1" w:rsidP="00FE653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3261"/>
      </w:tblGrid>
      <w:tr w:rsidR="00C700DF" w:rsidRPr="002C71FA" w:rsidTr="00CB0CCC">
        <w:trPr>
          <w:trHeight w:hRule="exact" w:val="46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00DF" w:rsidRPr="002C71FA" w:rsidRDefault="00C700DF" w:rsidP="00CB0CCC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1064" w:firstLine="2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700DF" w:rsidRPr="002C71FA" w:rsidRDefault="00C700DF" w:rsidP="00CB0CCC">
            <w:pPr>
              <w:pStyle w:val="BodyTextIndent21"/>
              <w:keepNext/>
              <w:spacing w:before="120" w:after="120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Информационные</w:t>
            </w:r>
            <w:r w:rsidRPr="002C71F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операции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700DF" w:rsidRPr="002C71FA" w:rsidRDefault="00C700DF" w:rsidP="00CB0CCC">
            <w:pPr>
              <w:ind w:firstLine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услуги (</w:t>
            </w:r>
            <w:proofErr w:type="spellStart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2C7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82F02" w:rsidRPr="00956178" w:rsidTr="00315A99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02" w:rsidRPr="00956178" w:rsidRDefault="00782F02" w:rsidP="00FA41F9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213" w:firstLine="214"/>
              <w:rPr>
                <w:rFonts w:ascii="Arial" w:hAnsi="Arial" w:cs="Arial"/>
                <w:sz w:val="18"/>
                <w:szCs w:val="18"/>
              </w:rPr>
            </w:pPr>
            <w:r w:rsidRPr="00956178">
              <w:rPr>
                <w:rFonts w:ascii="Arial" w:hAnsi="Arial" w:cs="Arial"/>
                <w:sz w:val="18"/>
                <w:szCs w:val="18"/>
              </w:rPr>
              <w:t>9.</w:t>
            </w:r>
            <w:r w:rsidR="00FA41F9">
              <w:rPr>
                <w:rFonts w:ascii="Arial" w:hAnsi="Arial" w:cs="Arial"/>
                <w:sz w:val="18"/>
                <w:szCs w:val="18"/>
              </w:rPr>
              <w:t>1</w:t>
            </w:r>
            <w:r w:rsidRPr="009561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02" w:rsidRPr="00D866F8" w:rsidRDefault="00FA41F9" w:rsidP="00315A99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Выдача выписки </w:t>
            </w:r>
            <w:r w:rsidR="00D866F8">
              <w:rPr>
                <w:rFonts w:ascii="Arial" w:hAnsi="Arial" w:cs="Arial"/>
              </w:rPr>
              <w:t xml:space="preserve">в электронной форме </w:t>
            </w:r>
            <w:r>
              <w:rPr>
                <w:rFonts w:ascii="Arial" w:hAnsi="Arial" w:cs="Arial"/>
              </w:rPr>
              <w:t>по Счету</w:t>
            </w:r>
            <w:r w:rsidRPr="009C2F53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субсчету депо за период, самостоятельно определяемый Депонентом </w:t>
            </w:r>
            <w:r w:rsidRPr="009C2F53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Клиентом Депозитария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02" w:rsidRDefault="00FA41F9" w:rsidP="00315A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2F02" w:rsidRPr="00956178">
              <w:rPr>
                <w:rFonts w:ascii="Arial" w:hAnsi="Arial" w:cs="Arial"/>
                <w:sz w:val="18"/>
                <w:szCs w:val="18"/>
              </w:rPr>
              <w:t>00  за операцию</w:t>
            </w:r>
          </w:p>
          <w:p w:rsidR="00782F02" w:rsidRPr="00FA41F9" w:rsidRDefault="00782F02" w:rsidP="00315A99">
            <w:pPr>
              <w:rPr>
                <w:rFonts w:ascii="Arial" w:hAnsi="Arial" w:cs="Arial"/>
                <w:sz w:val="18"/>
                <w:szCs w:val="18"/>
              </w:rPr>
            </w:pPr>
            <w:r w:rsidRPr="00FA41F9">
              <w:rPr>
                <w:rFonts w:ascii="Arial" w:hAnsi="Arial" w:cs="Arial"/>
                <w:sz w:val="18"/>
                <w:szCs w:val="18"/>
              </w:rPr>
              <w:t>Оплата авансовая.</w:t>
            </w:r>
          </w:p>
        </w:tc>
      </w:tr>
      <w:tr w:rsidR="00782F02" w:rsidRPr="00956178" w:rsidTr="00315A99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02" w:rsidRPr="00956178" w:rsidRDefault="00782F02" w:rsidP="00FA41F9">
            <w:pPr>
              <w:tabs>
                <w:tab w:val="left" w:pos="72"/>
                <w:tab w:val="left" w:pos="782"/>
                <w:tab w:val="left" w:pos="923"/>
                <w:tab w:val="left" w:pos="1065"/>
              </w:tabs>
              <w:ind w:right="213" w:firstLine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FA41F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02" w:rsidRPr="00D866F8" w:rsidRDefault="00D866F8" w:rsidP="00D866F8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Выдача выписки в бумажной форме по Счету</w:t>
            </w:r>
            <w:r w:rsidRPr="009C2F53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субсчету депо за период, самостоятельно определяемый Депонентом </w:t>
            </w:r>
            <w:r w:rsidRPr="009C2F53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Клиентом Депозитария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02" w:rsidRDefault="00D866F8" w:rsidP="00D866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 за операцию</w:t>
            </w:r>
          </w:p>
          <w:p w:rsidR="00D866F8" w:rsidRPr="00956178" w:rsidRDefault="00D866F8" w:rsidP="00D866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Оплата авансовая </w:t>
            </w:r>
          </w:p>
        </w:tc>
      </w:tr>
    </w:tbl>
    <w:p w:rsidR="00782F02" w:rsidRPr="00F6516B" w:rsidRDefault="00782F02" w:rsidP="00FE6531">
      <w:pPr>
        <w:jc w:val="both"/>
        <w:rPr>
          <w:rFonts w:ascii="Arial" w:hAnsi="Arial" w:cs="Arial"/>
          <w:sz w:val="18"/>
          <w:szCs w:val="18"/>
        </w:rPr>
      </w:pPr>
    </w:p>
    <w:p w:rsidR="00782F02" w:rsidRPr="00F6516B" w:rsidRDefault="00782F02" w:rsidP="00FE6531">
      <w:pPr>
        <w:jc w:val="both"/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Плата за хранение облигаций эмитентов, допустивших дефолт по обязательствам, – не взимается.</w:t>
      </w:r>
    </w:p>
    <w:p w:rsidR="00FE6531" w:rsidRPr="002C71FA" w:rsidRDefault="00FE6531" w:rsidP="00FE6531">
      <w:pPr>
        <w:jc w:val="both"/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 xml:space="preserve">Услуги, оказанные Депозитарием в рамках лицензируемой деятельности, на основании </w:t>
      </w:r>
      <w:proofErr w:type="spellStart"/>
      <w:r w:rsidRPr="002C71FA">
        <w:rPr>
          <w:rFonts w:ascii="Arial" w:hAnsi="Arial" w:cs="Arial"/>
          <w:sz w:val="18"/>
          <w:szCs w:val="18"/>
        </w:rPr>
        <w:t>п.п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. 12.2 п. 2 ст. 149 </w:t>
      </w:r>
      <w:proofErr w:type="spellStart"/>
      <w:r w:rsidRPr="002C71FA">
        <w:rPr>
          <w:rFonts w:ascii="Arial" w:hAnsi="Arial" w:cs="Arial"/>
          <w:sz w:val="18"/>
          <w:szCs w:val="18"/>
        </w:rPr>
        <w:t>НК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РФ не облагаются НДС. Прочие услуги, оказанные Депозитарием в рамках Условий осуществления депозитарной деятельности </w:t>
      </w:r>
      <w:proofErr w:type="spellStart"/>
      <w:r w:rsidRPr="002C71FA">
        <w:rPr>
          <w:rFonts w:ascii="Arial" w:hAnsi="Arial" w:cs="Arial"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«СПБ Банк», подлежат обложению НДС. </w:t>
      </w:r>
    </w:p>
    <w:p w:rsidR="00FE6531" w:rsidRPr="002C71FA" w:rsidRDefault="00FE6531" w:rsidP="00FE6531">
      <w:pPr>
        <w:pStyle w:val="a8"/>
        <w:spacing w:after="0"/>
        <w:ind w:left="1080"/>
        <w:rPr>
          <w:rFonts w:ascii="Arial" w:eastAsia="Times New Roman" w:hAnsi="Arial" w:cs="Arial"/>
          <w:sz w:val="18"/>
          <w:szCs w:val="18"/>
          <w:lang w:eastAsia="ru-RU"/>
        </w:rPr>
      </w:pP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Затраты взимаемые третьими лицами с Депозитария по услугам предоставленным депоненту, но не указанные в Тарифах Банка, возмещаются депонентом.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Затраты взимаемые третьими лицами, в иностранной валюте возмещаются депонентом в валюте Российской Федерации по курсу Банка России на дату списания затрат третьим лицом.</w:t>
      </w:r>
    </w:p>
    <w:p w:rsidR="000F3CD9" w:rsidRPr="002C71FA" w:rsidRDefault="000F3CD9" w:rsidP="000F3CD9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* Кредитные организации, которым открыты индивидуальные счета в вышестоящих депозитариях, возмещают все затраты понесённые Депозитарием в связи с исполнением поручений по счету данной организации.</w:t>
      </w:r>
    </w:p>
    <w:p w:rsidR="000F3CD9" w:rsidRPr="002C71FA" w:rsidRDefault="000F3CD9" w:rsidP="00CB0CCC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 xml:space="preserve">** Депоненты дополнительно к тарифу оплачивают комиссии Депозитария – корреспондента, связанные с ведением обособленных счетов </w:t>
      </w:r>
      <w:proofErr w:type="spellStart"/>
      <w:r w:rsidRPr="002C71FA">
        <w:rPr>
          <w:rFonts w:ascii="Arial" w:hAnsi="Arial" w:cs="Arial"/>
          <w:sz w:val="18"/>
          <w:szCs w:val="18"/>
        </w:rPr>
        <w:t>МРКЦ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и Депозитарии-корреспонденте.</w:t>
      </w:r>
    </w:p>
    <w:p w:rsidR="00B426C4" w:rsidRPr="002C71FA" w:rsidRDefault="00B426C4" w:rsidP="00B426C4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***Депоненты дополнительно к тарифу оплачивают комиссии и сборы третьих лиц, связанные с исполнением поручения депонента.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*</w:t>
      </w:r>
      <w:r w:rsidR="00B426C4">
        <w:rPr>
          <w:rFonts w:ascii="Arial" w:hAnsi="Arial" w:cs="Arial"/>
          <w:sz w:val="18"/>
          <w:szCs w:val="18"/>
        </w:rPr>
        <w:t>***</w:t>
      </w:r>
      <w:r w:rsidRPr="002C71FA">
        <w:rPr>
          <w:rFonts w:ascii="Arial" w:hAnsi="Arial" w:cs="Arial"/>
          <w:sz w:val="18"/>
          <w:szCs w:val="18"/>
        </w:rPr>
        <w:t xml:space="preserve"> Стоимость остатка ценных бумаг рассчитывается как сумма средневзвешенных стоимостей остатков всех выпусков ценных бумаг данной группы, учитываемых на счете депо Депонента в расчетном месяце, по календарным дням месяца. Стоимость остатка по каждому выпуску ценных бумаг за календарный день определяется как произведение остатка в штуках на конец дня на рыночную цену ценных бумаг этого выпуска. Для </w:t>
      </w:r>
      <w:r w:rsidRPr="002C71FA">
        <w:rPr>
          <w:rFonts w:ascii="Arial" w:hAnsi="Arial" w:cs="Arial"/>
          <w:sz w:val="18"/>
          <w:szCs w:val="18"/>
        </w:rPr>
        <w:lastRenderedPageBreak/>
        <w:t xml:space="preserve">выходных и праздничных дней значения остатка в штуках и рыночной цены выпуска принимаются </w:t>
      </w:r>
      <w:proofErr w:type="gramStart"/>
      <w:r w:rsidRPr="002C71FA">
        <w:rPr>
          <w:rFonts w:ascii="Arial" w:hAnsi="Arial" w:cs="Arial"/>
          <w:sz w:val="18"/>
          <w:szCs w:val="18"/>
        </w:rPr>
        <w:t>равными</w:t>
      </w:r>
      <w:proofErr w:type="gramEnd"/>
      <w:r w:rsidRPr="002C71FA">
        <w:rPr>
          <w:rFonts w:ascii="Arial" w:hAnsi="Arial" w:cs="Arial"/>
          <w:sz w:val="18"/>
          <w:szCs w:val="18"/>
        </w:rPr>
        <w:t xml:space="preserve"> значениям за предшествующий рабочий день. </w:t>
      </w:r>
      <w:proofErr w:type="gramStart"/>
      <w:r w:rsidRPr="002C71FA">
        <w:rPr>
          <w:rFonts w:ascii="Arial" w:hAnsi="Arial" w:cs="Arial"/>
          <w:sz w:val="18"/>
          <w:szCs w:val="18"/>
        </w:rPr>
        <w:t>Ставка ежемесячной платы за услуги по хранению ценных бумаг и/или учету прав на ценные бумаги, не имеющие рыночной цены – для акций, инвестиционных паев и депозитарных расписок составляет 300 (Триста) рублей</w:t>
      </w:r>
      <w:r w:rsidR="005002C9" w:rsidRPr="002C71FA">
        <w:rPr>
          <w:rFonts w:ascii="Arial" w:hAnsi="Arial" w:cs="Arial"/>
          <w:sz w:val="18"/>
          <w:szCs w:val="18"/>
        </w:rPr>
        <w:t xml:space="preserve"> либо мин. 5 </w:t>
      </w:r>
      <w:r w:rsidR="00EA42D7" w:rsidRPr="002C71FA">
        <w:rPr>
          <w:rFonts w:ascii="Arial" w:hAnsi="Arial" w:cs="Arial"/>
          <w:sz w:val="18"/>
          <w:szCs w:val="18"/>
        </w:rPr>
        <w:t>долларов США (</w:t>
      </w:r>
      <w:r w:rsidR="00EA42D7" w:rsidRPr="002C71FA">
        <w:rPr>
          <w:rFonts w:ascii="Arial" w:hAnsi="Arial" w:cs="Arial"/>
          <w:sz w:val="18"/>
          <w:szCs w:val="18"/>
          <w:lang w:val="en-US"/>
        </w:rPr>
        <w:t>USD</w:t>
      </w:r>
      <w:r w:rsidR="00EA42D7" w:rsidRPr="002C71FA">
        <w:rPr>
          <w:rFonts w:ascii="Arial" w:hAnsi="Arial" w:cs="Arial"/>
          <w:sz w:val="18"/>
          <w:szCs w:val="18"/>
        </w:rPr>
        <w:t xml:space="preserve">) </w:t>
      </w:r>
      <w:r w:rsidRPr="002C71FA">
        <w:rPr>
          <w:rFonts w:ascii="Arial" w:hAnsi="Arial" w:cs="Arial"/>
          <w:sz w:val="18"/>
          <w:szCs w:val="18"/>
        </w:rPr>
        <w:t>за один выпуск ценных бумаг на счете депо, но не более 15 000 (Пятнадцати тысяч) рублей</w:t>
      </w:r>
      <w:r w:rsidR="005002C9" w:rsidRPr="002C71FA">
        <w:rPr>
          <w:rFonts w:ascii="Arial" w:hAnsi="Arial" w:cs="Arial"/>
          <w:sz w:val="18"/>
          <w:szCs w:val="18"/>
        </w:rPr>
        <w:t xml:space="preserve"> либо 250 </w:t>
      </w:r>
      <w:r w:rsidR="00EA42D7" w:rsidRPr="002C71FA">
        <w:rPr>
          <w:rFonts w:ascii="Arial" w:hAnsi="Arial" w:cs="Arial"/>
          <w:sz w:val="18"/>
          <w:szCs w:val="18"/>
        </w:rPr>
        <w:t>долларов США (</w:t>
      </w:r>
      <w:r w:rsidR="00EA42D7" w:rsidRPr="002C71FA">
        <w:rPr>
          <w:rFonts w:ascii="Arial" w:hAnsi="Arial" w:cs="Arial"/>
          <w:sz w:val="18"/>
          <w:szCs w:val="18"/>
          <w:lang w:val="en-US"/>
        </w:rPr>
        <w:t>USD</w:t>
      </w:r>
      <w:r w:rsidR="00EA42D7" w:rsidRPr="002C71FA">
        <w:rPr>
          <w:rFonts w:ascii="Arial" w:hAnsi="Arial" w:cs="Arial"/>
          <w:sz w:val="18"/>
          <w:szCs w:val="18"/>
        </w:rPr>
        <w:t>)</w:t>
      </w:r>
      <w:r w:rsidRPr="002C71FA">
        <w:rPr>
          <w:rFonts w:ascii="Arial" w:hAnsi="Arial" w:cs="Arial"/>
          <w:sz w:val="18"/>
          <w:szCs w:val="18"/>
        </w:rPr>
        <w:t>.</w:t>
      </w:r>
      <w:proofErr w:type="gramEnd"/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Ежемесячная плата за услуги по хранению ценных бумаг и/или учету прав на ценные бумаги рассчитывается по формуле:</w:t>
      </w:r>
    </w:p>
    <w:p w:rsidR="00FE6531" w:rsidRPr="002C71FA" w:rsidRDefault="00FE6531" w:rsidP="00FE6531">
      <w:pPr>
        <w:ind w:left="-426" w:firstLine="426"/>
        <w:jc w:val="center"/>
        <w:rPr>
          <w:rFonts w:ascii="Arial" w:hAnsi="Arial" w:cs="Arial"/>
          <w:b/>
          <w:sz w:val="18"/>
          <w:szCs w:val="18"/>
        </w:rPr>
      </w:pPr>
      <w:r w:rsidRPr="002C71FA">
        <w:rPr>
          <w:rFonts w:ascii="Arial" w:hAnsi="Arial" w:cs="Arial"/>
          <w:b/>
          <w:sz w:val="18"/>
          <w:szCs w:val="18"/>
        </w:rPr>
        <w:t>(Стоимость остатка ценных бумаг ×количество дней в месяце)/</w:t>
      </w:r>
      <w:proofErr w:type="spellStart"/>
      <w:r w:rsidRPr="002C71FA">
        <w:rPr>
          <w:rFonts w:ascii="Arial" w:hAnsi="Arial" w:cs="Arial"/>
          <w:b/>
          <w:sz w:val="18"/>
          <w:szCs w:val="18"/>
        </w:rPr>
        <w:t>360×Ставка</w:t>
      </w:r>
      <w:proofErr w:type="spellEnd"/>
      <w:r w:rsidRPr="002C71FA">
        <w:rPr>
          <w:rFonts w:ascii="Arial" w:hAnsi="Arial" w:cs="Arial"/>
          <w:b/>
          <w:sz w:val="18"/>
          <w:szCs w:val="18"/>
        </w:rPr>
        <w:t xml:space="preserve"> тарифа </w:t>
      </w:r>
      <w:proofErr w:type="gramStart"/>
      <w:r w:rsidRPr="002C71FA">
        <w:rPr>
          <w:rFonts w:ascii="Arial" w:hAnsi="Arial" w:cs="Arial"/>
          <w:b/>
          <w:sz w:val="18"/>
          <w:szCs w:val="18"/>
        </w:rPr>
        <w:t>в</w:t>
      </w:r>
      <w:proofErr w:type="gramEnd"/>
      <w:r w:rsidRPr="002C71FA">
        <w:rPr>
          <w:rFonts w:ascii="Arial" w:hAnsi="Arial" w:cs="Arial"/>
          <w:b/>
          <w:sz w:val="18"/>
          <w:szCs w:val="18"/>
        </w:rPr>
        <w:t xml:space="preserve"> % годовых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Рыночная стоимость для определения размера Тарифа Депозитария определяется в следующем порядке: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 xml:space="preserve">при оценке рыночной стоимости акций акционерных обществ, инвестиционных паев паевых инвестиционных фондов и депозитарных расписок используется доступная Депозитарию информация, официально предоставляемая организаторами торговли или информационными системами (при отсутствии рыночных цен, определенных организаторами торговли). 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При этом устанавливается следующий приоритет использования котировок: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Для ценных бумаг российских эмитентов, номинированных в рублях: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•</w:t>
      </w:r>
      <w:r w:rsidRPr="002C71FA">
        <w:rPr>
          <w:rFonts w:ascii="Arial" w:hAnsi="Arial" w:cs="Arial"/>
          <w:sz w:val="18"/>
          <w:szCs w:val="18"/>
        </w:rPr>
        <w:tab/>
        <w:t xml:space="preserve">Приоритет 1 (Высший) – средневзвешенная цена, раскрываемая организатором торговли </w:t>
      </w:r>
      <w:proofErr w:type="spellStart"/>
      <w:r w:rsidRPr="002C71FA">
        <w:rPr>
          <w:rFonts w:ascii="Arial" w:hAnsi="Arial" w:cs="Arial"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Московская биржа на дату, ближайшую к дате осуществления переоценки из предшествующих ей 90 торговых дней;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•</w:t>
      </w:r>
      <w:r w:rsidRPr="002C71FA">
        <w:rPr>
          <w:rFonts w:ascii="Arial" w:hAnsi="Arial" w:cs="Arial"/>
          <w:sz w:val="18"/>
          <w:szCs w:val="18"/>
        </w:rPr>
        <w:tab/>
        <w:t>Приоритет 2 – цена последней сделки, раскрываемая организатором торговли (</w:t>
      </w:r>
      <w:proofErr w:type="spellStart"/>
      <w:r w:rsidRPr="002C71FA">
        <w:rPr>
          <w:rFonts w:ascii="Arial" w:hAnsi="Arial" w:cs="Arial"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Московская биржа, </w:t>
      </w:r>
      <w:proofErr w:type="spellStart"/>
      <w:r w:rsidRPr="002C71FA">
        <w:rPr>
          <w:rFonts w:ascii="Arial" w:hAnsi="Arial" w:cs="Arial"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«СПБ Биржа») на дату, ближайшую к дате осуществления переоценки из предшествующих ей 90 торговых дней;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•</w:t>
      </w:r>
      <w:r w:rsidRPr="002C71FA">
        <w:rPr>
          <w:rFonts w:ascii="Arial" w:hAnsi="Arial" w:cs="Arial"/>
          <w:sz w:val="18"/>
          <w:szCs w:val="18"/>
        </w:rPr>
        <w:tab/>
        <w:t>Приоритет 3 – цены/котировки, раскрываемые признанными источниками информациями, в том числе информационной системой  Интерфакс, на дату, ближайшую к дате осуществления переоценки из предшествующих ей 90 торговых дней.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Для ценных бумаг иностранных эмитентов и ценных бумаг российских эмитентов, номинированных в иностранной валюте: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•</w:t>
      </w:r>
      <w:r w:rsidRPr="002C71FA">
        <w:rPr>
          <w:rFonts w:ascii="Arial" w:hAnsi="Arial" w:cs="Arial"/>
          <w:sz w:val="18"/>
          <w:szCs w:val="18"/>
        </w:rPr>
        <w:tab/>
        <w:t xml:space="preserve">Приоритет 1 (Высший) – цена закрытия торгов, раскрываемые, организатором торговли </w:t>
      </w:r>
      <w:proofErr w:type="spellStart"/>
      <w:r w:rsidRPr="002C71FA">
        <w:rPr>
          <w:rFonts w:ascii="Arial" w:hAnsi="Arial" w:cs="Arial"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«СПБ Биржа» (используется цена закрытия рынка на дату, ближайшую к дате осуществления переоценки из предшествующих ей 90 торговых дней).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•</w:t>
      </w:r>
      <w:r w:rsidRPr="002C71FA">
        <w:rPr>
          <w:rFonts w:ascii="Arial" w:hAnsi="Arial" w:cs="Arial"/>
          <w:sz w:val="18"/>
          <w:szCs w:val="18"/>
        </w:rPr>
        <w:tab/>
        <w:t xml:space="preserve">Приоритет 2 - цены/котировки, раскрываемые признанными источниками информациями, в том числе информационной системой  Интерфакс, на дату, ближайшую к дате осуществления переоценки из предшествующих ей 90 торговых дней. 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proofErr w:type="gramStart"/>
      <w:r w:rsidRPr="002C71FA">
        <w:rPr>
          <w:rFonts w:ascii="Arial" w:hAnsi="Arial" w:cs="Arial"/>
          <w:sz w:val="18"/>
          <w:szCs w:val="18"/>
        </w:rPr>
        <w:t>•</w:t>
      </w:r>
      <w:r w:rsidRPr="002C71FA">
        <w:rPr>
          <w:rFonts w:ascii="Arial" w:hAnsi="Arial" w:cs="Arial"/>
          <w:sz w:val="18"/>
          <w:szCs w:val="18"/>
        </w:rPr>
        <w:tab/>
        <w:t xml:space="preserve">Приоритет 3 – цена закрытия торгов, раскрываемая организатором торговли (зарубежные торговые площадки </w:t>
      </w:r>
      <w:r w:rsidRPr="002C71FA">
        <w:rPr>
          <w:rFonts w:ascii="Arial" w:hAnsi="Arial" w:cs="Arial"/>
          <w:sz w:val="18"/>
          <w:szCs w:val="18"/>
          <w:lang w:val="en-US"/>
        </w:rPr>
        <w:t>NYSE</w:t>
      </w:r>
      <w:r w:rsidRPr="002C71FA">
        <w:rPr>
          <w:rFonts w:ascii="Arial" w:hAnsi="Arial" w:cs="Arial"/>
          <w:sz w:val="18"/>
          <w:szCs w:val="18"/>
        </w:rPr>
        <w:t xml:space="preserve"> / </w:t>
      </w:r>
      <w:r w:rsidRPr="002C71FA">
        <w:rPr>
          <w:rFonts w:ascii="Arial" w:hAnsi="Arial" w:cs="Arial"/>
          <w:sz w:val="18"/>
          <w:szCs w:val="18"/>
          <w:lang w:val="en-US"/>
        </w:rPr>
        <w:t>NASDAQ</w:t>
      </w:r>
      <w:r w:rsidRPr="002C71FA">
        <w:rPr>
          <w:rFonts w:ascii="Arial" w:hAnsi="Arial" w:cs="Arial"/>
          <w:sz w:val="18"/>
          <w:szCs w:val="18"/>
        </w:rPr>
        <w:t xml:space="preserve"> / иная иностранная площадка (площадка с максимальным объемом торгов по количеству ценных бумаг) на дату, ближайшую к дате осуществления переоценки из предшествующих ей 90 торговых дней (используется валюта котировки, в случае отсутствия валюты котировки, рыночная цена признается равной нулю).</w:t>
      </w:r>
      <w:proofErr w:type="gramEnd"/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 xml:space="preserve">при отсутствии данных о рыночной цене ценных бумаг конкретного эмитента за </w:t>
      </w:r>
      <w:proofErr w:type="gramStart"/>
      <w:r w:rsidRPr="002C71FA">
        <w:rPr>
          <w:rFonts w:ascii="Arial" w:hAnsi="Arial" w:cs="Arial"/>
          <w:sz w:val="18"/>
          <w:szCs w:val="18"/>
        </w:rPr>
        <w:t>последние</w:t>
      </w:r>
      <w:proofErr w:type="gramEnd"/>
      <w:r w:rsidRPr="002C71FA">
        <w:rPr>
          <w:rFonts w:ascii="Arial" w:hAnsi="Arial" w:cs="Arial"/>
          <w:sz w:val="18"/>
          <w:szCs w:val="18"/>
        </w:rPr>
        <w:t xml:space="preserve"> 90 торговых дней, рыночная цена этих ценных бумаг принимается равной нулю;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если при оценке стоимости конкретной ценной бумаги организатором торговли предоставлено более одного значения ее рыночной цены, то используется среднее арифметическое значение;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при оценке федеральных, субфедеральных и муниципальных облигационных займов, а также еврооблигаций и корпоративных облигаций для целей настоящего документа рыночной ценой считается величина номинальной стоимости соответствующей облигации;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при оценке облигаций, кроме облигаций, учитываемых в международных депозитариях и центральных депозитариях стран СНГ, для которых решением о выпуске эмиссионных ценных бумаг (проспектом ценных бумаг) предусмотрено погашение части номинальной стоимости, для целей настоящего документа рыночной ценой считается величина непогашенной части номинальной стоимости соответствующей облигации;</w:t>
      </w:r>
    </w:p>
    <w:p w:rsidR="00FE6531" w:rsidRPr="002C71FA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при оценке облигаций, учитываемых в международных депозитариях и центральных депозитариях стран СНГ, для которых решением о выпуске эмиссионных ценных бумаг (проспектом ценных бумаг) предусмотрено погашение части основной суммы долга (номинальной стоимости), для целей настоящего документа рыночной ценой считается номинальная стоимость соответствующей облигации.</w:t>
      </w:r>
    </w:p>
    <w:p w:rsidR="00FE6531" w:rsidRDefault="00FE6531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определяемый в соответствии с настоящим документом показатель «рыночная стоимость ценных бумаг»</w:t>
      </w:r>
      <w:r w:rsidR="00DC205B">
        <w:rPr>
          <w:rFonts w:ascii="Arial" w:hAnsi="Arial" w:cs="Arial"/>
          <w:sz w:val="18"/>
          <w:szCs w:val="18"/>
        </w:rPr>
        <w:t xml:space="preserve"> по п. 8.1.- 8.4.</w:t>
      </w:r>
      <w:r w:rsidRPr="002C71FA">
        <w:rPr>
          <w:rFonts w:ascii="Arial" w:hAnsi="Arial" w:cs="Arial"/>
          <w:sz w:val="18"/>
          <w:szCs w:val="18"/>
        </w:rPr>
        <w:t xml:space="preserve"> выражается в российских рублях. При использовании в расчетах рыночных цен, выраженных в иностранной валюте, рыночная стоимость соответствующих ценных бумаг в иностранной валюте пересчитывается в российские рубли по курсу, установленному Центральным банком Российской Федерации на дату расчетов. Если Центральный банк Российской Федерации не устанавливает курс по валюте, в которой рассчитана рыночная стоимость соответствующей ценной бумаги, то используется средняя цена из информации, предоставленной Информационным агентом для расчета курса такой валюты в российских рублях в соответствии с рекомендациями Центрального банка Российской Федерации.</w:t>
      </w:r>
    </w:p>
    <w:p w:rsidR="004F60E6" w:rsidRPr="00F6516B" w:rsidRDefault="00DC205B" w:rsidP="00FE6531">
      <w:pPr>
        <w:ind w:left="-426" w:firstLine="426"/>
        <w:jc w:val="both"/>
        <w:rPr>
          <w:rFonts w:ascii="Arial" w:hAnsi="Arial" w:cs="Arial"/>
          <w:color w:val="172B4D"/>
          <w:sz w:val="18"/>
          <w:szCs w:val="18"/>
        </w:rPr>
      </w:pPr>
      <w:r w:rsidRPr="004F60E6">
        <w:rPr>
          <w:rFonts w:ascii="Arial" w:hAnsi="Arial" w:cs="Arial"/>
          <w:sz w:val="18"/>
          <w:szCs w:val="18"/>
        </w:rPr>
        <w:t>определяемый в соответствии с настоящим документом показатель «рыночная стоимость ценных бумаг» по п. 8.6.- 8.</w:t>
      </w:r>
      <w:r w:rsidR="00256942">
        <w:rPr>
          <w:rFonts w:ascii="Arial" w:hAnsi="Arial" w:cs="Arial"/>
          <w:sz w:val="18"/>
          <w:szCs w:val="18"/>
        </w:rPr>
        <w:t>7</w:t>
      </w:r>
      <w:r w:rsidRPr="004F60E6">
        <w:rPr>
          <w:rFonts w:ascii="Arial" w:hAnsi="Arial" w:cs="Arial"/>
          <w:sz w:val="18"/>
          <w:szCs w:val="18"/>
        </w:rPr>
        <w:t xml:space="preserve">. выражается в долларах США. </w:t>
      </w:r>
      <w:r w:rsidR="004F18CD" w:rsidRPr="004F60E6">
        <w:rPr>
          <w:rFonts w:ascii="Arial" w:hAnsi="Arial" w:cs="Arial"/>
          <w:sz w:val="18"/>
          <w:szCs w:val="18"/>
        </w:rPr>
        <w:t>При использовании в расчетах рыночных цен, выраженных в иной  валюте, рыночная стоимость с</w:t>
      </w:r>
      <w:r w:rsidR="004D6579">
        <w:rPr>
          <w:rFonts w:ascii="Arial" w:hAnsi="Arial" w:cs="Arial"/>
          <w:sz w:val="18"/>
          <w:szCs w:val="18"/>
        </w:rPr>
        <w:t xml:space="preserve">оответствующих ценных бумаг в иной валюте пересчитывается в доллары США по кросс - курсу, </w:t>
      </w:r>
      <w:proofErr w:type="gramStart"/>
      <w:r w:rsidR="004D6579">
        <w:rPr>
          <w:rFonts w:ascii="Arial" w:hAnsi="Arial" w:cs="Arial"/>
          <w:sz w:val="18"/>
          <w:szCs w:val="18"/>
        </w:rPr>
        <w:t>рассчитанного</w:t>
      </w:r>
      <w:proofErr w:type="gramEnd"/>
      <w:r w:rsidR="004D6579">
        <w:rPr>
          <w:rFonts w:ascii="Arial" w:hAnsi="Arial" w:cs="Arial"/>
          <w:sz w:val="18"/>
          <w:szCs w:val="18"/>
        </w:rPr>
        <w:t xml:space="preserve"> исходя из официальных курсов, установленных Центральным банком Российской Федерации на дату расчетов. В случае если Центральный Банк </w:t>
      </w:r>
      <w:r w:rsidR="004F60E6" w:rsidRPr="004F60E6">
        <w:rPr>
          <w:rFonts w:ascii="Arial" w:hAnsi="Arial" w:cs="Arial"/>
          <w:sz w:val="18"/>
          <w:szCs w:val="18"/>
        </w:rPr>
        <w:t>не устанавливает курс по иной ва</w:t>
      </w:r>
      <w:r w:rsidR="004D6579">
        <w:rPr>
          <w:rFonts w:ascii="Arial" w:hAnsi="Arial" w:cs="Arial"/>
          <w:sz w:val="18"/>
          <w:szCs w:val="18"/>
        </w:rPr>
        <w:t xml:space="preserve">люте, то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за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курс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в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день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proofErr w:type="spellStart"/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Т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>0</w:t>
      </w:r>
      <w:proofErr w:type="spellEnd"/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берется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цена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закрытия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на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бирже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proofErr w:type="spellStart"/>
      <w:r w:rsidR="000F0E79" w:rsidRPr="00F6516B">
        <w:rPr>
          <w:rFonts w:ascii="Arial" w:hAnsi="Arial" w:cs="Arial"/>
          <w:color w:val="172B4D"/>
          <w:sz w:val="18"/>
          <w:szCs w:val="18"/>
        </w:rPr>
        <w:t>ICE</w:t>
      </w:r>
      <w:proofErr w:type="spellEnd"/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proofErr w:type="gramStart"/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( </w:t>
      </w:r>
      <w:proofErr w:type="spellStart"/>
      <w:proofErr w:type="gramEnd"/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Форекс</w:t>
      </w:r>
      <w:proofErr w:type="spellEnd"/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)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за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Т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-1,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которую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Интерфакс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публикует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в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9.00 </w:t>
      </w:r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в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 xml:space="preserve"> </w:t>
      </w:r>
      <w:proofErr w:type="spellStart"/>
      <w:r w:rsidR="000F0E79" w:rsidRPr="00F6516B">
        <w:rPr>
          <w:rFonts w:ascii="Arial" w:hAnsi="Arial" w:cs="Arial" w:hint="eastAsia"/>
          <w:color w:val="172B4D"/>
          <w:sz w:val="18"/>
          <w:szCs w:val="18"/>
        </w:rPr>
        <w:t>Т</w:t>
      </w:r>
      <w:r w:rsidR="000F0E79" w:rsidRPr="00F6516B">
        <w:rPr>
          <w:rFonts w:ascii="Arial" w:hAnsi="Arial" w:cs="Arial"/>
          <w:color w:val="172B4D"/>
          <w:sz w:val="18"/>
          <w:szCs w:val="18"/>
        </w:rPr>
        <w:t>0</w:t>
      </w:r>
      <w:proofErr w:type="spellEnd"/>
      <w:r w:rsidR="000F0E79" w:rsidRPr="00F6516B">
        <w:rPr>
          <w:rFonts w:ascii="Arial" w:hAnsi="Arial" w:cs="Arial"/>
          <w:color w:val="172B4D"/>
          <w:sz w:val="18"/>
          <w:szCs w:val="18"/>
        </w:rPr>
        <w:t>.</w:t>
      </w:r>
    </w:p>
    <w:p w:rsidR="00FE6531" w:rsidRPr="00B12FD3" w:rsidRDefault="00FE6531" w:rsidP="00B12FD3">
      <w:pPr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lastRenderedPageBreak/>
        <w:t>Депозитарий вправе после рассмотрения поручения Депонента на проведение операций, указанных в пункте 7.4. Тарифов, затребовать у Депонента следующие документы:</w:t>
      </w:r>
    </w:p>
    <w:p w:rsidR="00FE6531" w:rsidRPr="002C71FA" w:rsidRDefault="00FE6531" w:rsidP="00FE6531">
      <w:pPr>
        <w:pStyle w:val="a8"/>
        <w:numPr>
          <w:ilvl w:val="0"/>
          <w:numId w:val="2"/>
        </w:numPr>
        <w:spacing w:after="0"/>
        <w:ind w:left="1418" w:hanging="284"/>
        <w:contextualSpacing w:val="0"/>
        <w:jc w:val="left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поручение на проведение операции в бумажном виде, если поручение было подано депонентом иным способом;</w:t>
      </w:r>
    </w:p>
    <w:p w:rsidR="00FE6531" w:rsidRPr="002C71FA" w:rsidRDefault="00FE6531" w:rsidP="00FE6531">
      <w:pPr>
        <w:pStyle w:val="a8"/>
        <w:numPr>
          <w:ilvl w:val="0"/>
          <w:numId w:val="2"/>
        </w:numPr>
        <w:spacing w:after="0"/>
        <w:ind w:left="1418" w:hanging="284"/>
        <w:contextualSpacing w:val="0"/>
        <w:jc w:val="left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любые документы на усмотрение Депозитария, касающиеся проводимой операции, финансового положения, деятельности депонента и его контрагента.</w:t>
      </w:r>
    </w:p>
    <w:p w:rsidR="00FE6531" w:rsidRPr="002C71FA" w:rsidRDefault="00FE6531" w:rsidP="00FE6531">
      <w:pPr>
        <w:pStyle w:val="a8"/>
        <w:spacing w:after="0"/>
        <w:ind w:left="1416"/>
        <w:contextualSpacing w:val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12FD3" w:rsidRPr="00B12FD3" w:rsidRDefault="00FE6531" w:rsidP="00B12FD3">
      <w:pPr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Срок исполнения Депозитарием поручения Депонента на проведение операций, указанных в пункте 7.4. Тарифов, увеличивается на время рассмотрения представленных Депонентом документов, при этом Депозитарий имеет право запрашивать любые дополнительные документы, касающиеся проводимой операции, финансового положения, деятельности депонента и его контрагента  любое количество раз.</w:t>
      </w:r>
    </w:p>
    <w:p w:rsidR="00B12FD3" w:rsidRPr="002C71FA" w:rsidRDefault="00B12FD3" w:rsidP="00B12FD3">
      <w:pPr>
        <w:ind w:left="-425" w:firstLine="425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Депонент дополнительно к стоимости услуг оплачивает комиссии и сборы третьих лиц, связанные с исполнением поручения Депонента.</w:t>
      </w:r>
    </w:p>
    <w:p w:rsidR="00B12FD3" w:rsidRPr="002C71FA" w:rsidRDefault="00B12FD3" w:rsidP="00FE6531">
      <w:pPr>
        <w:ind w:left="-426" w:firstLine="426"/>
        <w:jc w:val="both"/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jc w:val="center"/>
        <w:rPr>
          <w:rFonts w:ascii="Arial" w:hAnsi="Arial" w:cs="Arial"/>
          <w:b/>
          <w:sz w:val="18"/>
          <w:szCs w:val="18"/>
        </w:rPr>
      </w:pPr>
    </w:p>
    <w:p w:rsidR="00FE6531" w:rsidRPr="002C71FA" w:rsidRDefault="00FE6531" w:rsidP="00FE6531">
      <w:pPr>
        <w:jc w:val="center"/>
        <w:rPr>
          <w:rFonts w:ascii="Arial" w:hAnsi="Arial" w:cs="Arial"/>
          <w:b/>
          <w:sz w:val="18"/>
          <w:szCs w:val="18"/>
        </w:rPr>
      </w:pPr>
    </w:p>
    <w:p w:rsidR="00FE6531" w:rsidRPr="002C71FA" w:rsidRDefault="00FE6531" w:rsidP="00FE6531">
      <w:pPr>
        <w:jc w:val="center"/>
        <w:rPr>
          <w:rFonts w:ascii="Arial" w:hAnsi="Arial" w:cs="Arial"/>
          <w:b/>
          <w:sz w:val="18"/>
          <w:szCs w:val="18"/>
        </w:rPr>
      </w:pPr>
      <w:r w:rsidRPr="002C71FA">
        <w:rPr>
          <w:rFonts w:ascii="Arial" w:hAnsi="Arial" w:cs="Arial"/>
          <w:b/>
          <w:sz w:val="18"/>
          <w:szCs w:val="18"/>
        </w:rPr>
        <w:t xml:space="preserve">Тарифы </w:t>
      </w:r>
      <w:proofErr w:type="spellStart"/>
      <w:r w:rsidRPr="002C71FA">
        <w:rPr>
          <w:rFonts w:ascii="Arial" w:hAnsi="Arial" w:cs="Arial"/>
          <w:b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b/>
          <w:sz w:val="18"/>
          <w:szCs w:val="18"/>
        </w:rPr>
        <w:t xml:space="preserve"> «СПБ Банк» за оказание услуг по учету </w:t>
      </w:r>
      <w:proofErr w:type="spellStart"/>
      <w:r w:rsidRPr="002C71FA">
        <w:rPr>
          <w:rFonts w:ascii="Arial" w:hAnsi="Arial" w:cs="Arial"/>
          <w:b/>
          <w:sz w:val="18"/>
          <w:szCs w:val="18"/>
        </w:rPr>
        <w:t>НФИ</w:t>
      </w:r>
      <w:proofErr w:type="spellEnd"/>
    </w:p>
    <w:p w:rsidR="00FE6531" w:rsidRPr="002C71FA" w:rsidRDefault="00FE6531" w:rsidP="00FE6531">
      <w:pPr>
        <w:rPr>
          <w:rFonts w:ascii="Arial" w:hAnsi="Arial" w:cs="Arial"/>
          <w:sz w:val="18"/>
          <w:szCs w:val="18"/>
        </w:rPr>
      </w:pPr>
    </w:p>
    <w:p w:rsidR="00FE6531" w:rsidRPr="002C71FA" w:rsidRDefault="00FE6531" w:rsidP="00FE6531">
      <w:pPr>
        <w:rPr>
          <w:rFonts w:ascii="Arial" w:hAnsi="Arial" w:cs="Arial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5242"/>
        <w:gridCol w:w="3507"/>
      </w:tblGrid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2C71FA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gramEnd"/>
            <w:r w:rsidRPr="002C71FA">
              <w:rPr>
                <w:rFonts w:ascii="Arial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5245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</w:t>
            </w:r>
          </w:p>
        </w:tc>
        <w:tc>
          <w:tcPr>
            <w:tcW w:w="3509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услуги (</w:t>
            </w:r>
            <w:proofErr w:type="spellStart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2C7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Открытие Счета для учета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НФИ</w:t>
            </w:r>
            <w:proofErr w:type="spellEnd"/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Ведение Счета  при наличии остатков</w:t>
            </w:r>
            <w:r w:rsidRPr="002C71FA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Выписка по Счету Депонента (по итогам операции)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Отчет о совершенной операции</w:t>
            </w:r>
          </w:p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(по итогам операции)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Предоставление информации (в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. выписка/отчет о совершенной операции)  по запросу Депонента 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BodyTextIndent21"/>
              <w:keepNext/>
              <w:spacing w:before="120" w:after="120"/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C71FA">
              <w:rPr>
                <w:rFonts w:ascii="Arial" w:hAnsi="Arial" w:cs="Arial"/>
                <w:sz w:val="18"/>
                <w:szCs w:val="18"/>
                <w:lang w:eastAsia="ja-JP"/>
              </w:rPr>
              <w:t xml:space="preserve">Инвентарные операции с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  <w:lang w:eastAsia="ja-JP"/>
              </w:rPr>
              <w:t>НФИ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pStyle w:val="BodyTextIndent21"/>
              <w:keepNext/>
              <w:spacing w:before="120" w:after="12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2C71F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C7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Принятие 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НФИ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, не связанное с проведением корпоративных действий. 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1000 за операцию  не включая НДС</w:t>
            </w:r>
            <w:r w:rsidR="00C700DF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6.2.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Инвентарная операция с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НФИ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, в том числе </w:t>
            </w:r>
            <w:r w:rsidRPr="002C71FA">
              <w:rPr>
                <w:rFonts w:ascii="Arial" w:eastAsia="MS Mincho" w:hAnsi="Arial" w:cs="Arial"/>
                <w:sz w:val="18"/>
                <w:szCs w:val="18"/>
              </w:rPr>
              <w:t xml:space="preserve">в целях их перевода  на счета Депонента и/или иных лиц, открытые в Депозитарии или в иных организациях, осуществляющих учет прав </w:t>
            </w:r>
            <w:proofErr w:type="gramStart"/>
            <w:r w:rsidRPr="002C71FA">
              <w:rPr>
                <w:rFonts w:ascii="Arial" w:eastAsia="MS Mincho" w:hAnsi="Arial" w:cs="Arial"/>
                <w:sz w:val="18"/>
                <w:szCs w:val="18"/>
              </w:rPr>
              <w:t>на</w:t>
            </w:r>
            <w:proofErr w:type="gramEnd"/>
            <w:r w:rsidRPr="002C71FA">
              <w:rPr>
                <w:rFonts w:ascii="Arial" w:eastAsia="MS Mincho" w:hAnsi="Arial" w:cs="Arial"/>
                <w:sz w:val="18"/>
                <w:szCs w:val="18"/>
              </w:rPr>
              <w:t xml:space="preserve"> такие </w:t>
            </w:r>
            <w:proofErr w:type="spellStart"/>
            <w:r w:rsidRPr="002C71FA">
              <w:rPr>
                <w:rFonts w:ascii="Arial" w:eastAsia="MS Mincho" w:hAnsi="Arial" w:cs="Arial"/>
                <w:sz w:val="18"/>
                <w:szCs w:val="18"/>
              </w:rPr>
              <w:t>НФИ</w:t>
            </w:r>
            <w:proofErr w:type="spellEnd"/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1000 за операцию, не включая НДС</w:t>
            </w:r>
            <w:r w:rsidR="00C700DF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FE6531" w:rsidRPr="002C71FA" w:rsidTr="003E7FB1">
        <w:tc>
          <w:tcPr>
            <w:tcW w:w="817" w:type="dxa"/>
            <w:vAlign w:val="center"/>
          </w:tcPr>
          <w:p w:rsidR="00FE6531" w:rsidRPr="002C71FA" w:rsidRDefault="00FE6531" w:rsidP="003E7F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Cs/>
                <w:sz w:val="18"/>
                <w:szCs w:val="18"/>
              </w:rPr>
              <w:t>6.3.</w:t>
            </w:r>
          </w:p>
        </w:tc>
        <w:tc>
          <w:tcPr>
            <w:tcW w:w="5245" w:type="dxa"/>
          </w:tcPr>
          <w:p w:rsidR="00FE6531" w:rsidRPr="002C71FA" w:rsidRDefault="00FE6531" w:rsidP="003E7F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Снятие с учета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НФИ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в целях их перевода на счет депо номинального держателя депонента, если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НФИ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стала квалифицироваться как ценная бумага</w:t>
            </w:r>
          </w:p>
        </w:tc>
        <w:tc>
          <w:tcPr>
            <w:tcW w:w="3509" w:type="dxa"/>
          </w:tcPr>
          <w:p w:rsidR="00FE6531" w:rsidRPr="002C71FA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</w:tr>
    </w:tbl>
    <w:p w:rsidR="00B12FD3" w:rsidRDefault="00B12FD3" w:rsidP="00FE6531">
      <w:pPr>
        <w:jc w:val="both"/>
        <w:rPr>
          <w:rFonts w:ascii="Arial" w:hAnsi="Arial" w:cs="Arial"/>
          <w:sz w:val="18"/>
          <w:szCs w:val="18"/>
        </w:rPr>
      </w:pPr>
    </w:p>
    <w:p w:rsidR="00B12FD3" w:rsidRPr="0034407A" w:rsidRDefault="00B12FD3" w:rsidP="00B12F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B12FD3">
        <w:rPr>
          <w:rFonts w:ascii="Arial" w:hAnsi="Arial" w:cs="Arial"/>
          <w:sz w:val="18"/>
          <w:szCs w:val="18"/>
        </w:rPr>
        <w:t xml:space="preserve"> </w:t>
      </w:r>
      <w:r w:rsidRPr="002C71FA">
        <w:rPr>
          <w:rFonts w:ascii="Arial" w:hAnsi="Arial" w:cs="Arial"/>
          <w:sz w:val="18"/>
          <w:szCs w:val="18"/>
        </w:rPr>
        <w:t xml:space="preserve">Услуга облагается НДС. НДС оплачивается сверх стоимости услуги в размере, установленном </w:t>
      </w:r>
      <w:proofErr w:type="spellStart"/>
      <w:r w:rsidRPr="002C71FA">
        <w:rPr>
          <w:rFonts w:ascii="Arial" w:hAnsi="Arial" w:cs="Arial"/>
          <w:sz w:val="18"/>
          <w:szCs w:val="18"/>
        </w:rPr>
        <w:t>НК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РФ</w:t>
      </w:r>
    </w:p>
    <w:p w:rsidR="00B12FD3" w:rsidRDefault="00B12FD3" w:rsidP="00FE6531">
      <w:pPr>
        <w:jc w:val="both"/>
        <w:rPr>
          <w:rFonts w:ascii="Arial" w:hAnsi="Arial" w:cs="Arial"/>
          <w:sz w:val="18"/>
          <w:szCs w:val="18"/>
        </w:rPr>
      </w:pPr>
    </w:p>
    <w:p w:rsidR="00FE6531" w:rsidRPr="00CB0CCC" w:rsidRDefault="00FE6531" w:rsidP="00FE6531">
      <w:pPr>
        <w:rPr>
          <w:rFonts w:ascii="Arial" w:hAnsi="Arial" w:cs="Arial"/>
          <w:b/>
          <w:bCs/>
          <w:sz w:val="18"/>
          <w:szCs w:val="18"/>
        </w:rPr>
      </w:pPr>
    </w:p>
    <w:p w:rsidR="00FE6531" w:rsidRPr="0012527B" w:rsidRDefault="00FE6531" w:rsidP="00FE6531">
      <w:pPr>
        <w:rPr>
          <w:rFonts w:ascii="Arial" w:hAnsi="Arial" w:cs="Arial"/>
          <w:b/>
          <w:bCs/>
          <w:sz w:val="18"/>
          <w:szCs w:val="18"/>
        </w:rPr>
      </w:pPr>
      <w:r w:rsidRPr="002C71FA">
        <w:rPr>
          <w:rFonts w:ascii="Arial" w:hAnsi="Arial" w:cs="Arial"/>
          <w:b/>
          <w:bCs/>
          <w:sz w:val="18"/>
          <w:szCs w:val="18"/>
        </w:rPr>
        <w:t xml:space="preserve">Тарифы </w:t>
      </w:r>
      <w:proofErr w:type="spellStart"/>
      <w:r w:rsidRPr="002C71FA">
        <w:rPr>
          <w:rFonts w:ascii="Arial" w:hAnsi="Arial" w:cs="Arial"/>
          <w:b/>
          <w:bCs/>
          <w:sz w:val="18"/>
          <w:szCs w:val="18"/>
        </w:rPr>
        <w:t>ПАО</w:t>
      </w:r>
      <w:proofErr w:type="spellEnd"/>
      <w:r w:rsidRPr="002C71FA">
        <w:rPr>
          <w:rFonts w:ascii="Arial" w:hAnsi="Arial" w:cs="Arial"/>
          <w:b/>
          <w:bCs/>
          <w:sz w:val="18"/>
          <w:szCs w:val="18"/>
        </w:rPr>
        <w:t xml:space="preserve"> «СПБ Банк» за оказание услуг по приему и признанию формы идентификации лица при выплате дохода по иностранным ценным бумагам, попадающим под регулирование Главы 3 и Главы 4 Налогового Кодекса США (далее - Ценные бумаги эмитентов США).</w:t>
      </w:r>
    </w:p>
    <w:p w:rsidR="00FE6531" w:rsidRPr="002C71FA" w:rsidRDefault="00FE6531" w:rsidP="00FE6531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662"/>
        <w:gridCol w:w="2268"/>
        <w:gridCol w:w="2936"/>
      </w:tblGrid>
      <w:tr w:rsidR="00FE6531" w:rsidRPr="002C71FA" w:rsidTr="00BC20C9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31" w:rsidRPr="002C71FA" w:rsidRDefault="00FE6531" w:rsidP="003E7FB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2C71F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2C71FA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31" w:rsidRPr="002C71FA" w:rsidRDefault="00FE6531" w:rsidP="003E7FB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31" w:rsidRPr="00CB0CCC" w:rsidRDefault="00FE6531" w:rsidP="003E7FB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услуги (</w:t>
            </w:r>
            <w:proofErr w:type="spellStart"/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2C7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2C71FA" w:rsidRDefault="00FE6531" w:rsidP="003E7FB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C71FA">
              <w:rPr>
                <w:rFonts w:ascii="Arial" w:hAnsi="Arial" w:cs="Arial"/>
                <w:b/>
                <w:bCs/>
                <w:sz w:val="18"/>
                <w:szCs w:val="18"/>
              </w:rPr>
              <w:t>Комментарий</w:t>
            </w:r>
          </w:p>
        </w:tc>
      </w:tr>
      <w:tr w:rsidR="00FE6531" w:rsidRPr="002C71FA" w:rsidTr="00194604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2C71FA" w:rsidRDefault="00FE6531" w:rsidP="003E7FB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2C71FA" w:rsidRDefault="00FE6531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Прием и признание формы идентификации лица при выплате дохода по Ценным бумагам эмитентов США для физического лица резидента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194604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194604">
              <w:rPr>
                <w:rFonts w:ascii="Arial" w:hAnsi="Arial" w:cs="Arial"/>
                <w:sz w:val="18"/>
                <w:szCs w:val="18"/>
              </w:rPr>
              <w:t>300 за операцию</w:t>
            </w:r>
            <w:r w:rsidR="00C700DF" w:rsidRPr="00194604">
              <w:rPr>
                <w:rFonts w:ascii="Arial" w:hAnsi="Arial" w:cs="Arial"/>
                <w:sz w:val="18"/>
                <w:szCs w:val="18"/>
              </w:rPr>
              <w:t>, не включая НДС*</w:t>
            </w:r>
          </w:p>
          <w:p w:rsidR="0078096A" w:rsidRPr="00194604" w:rsidRDefault="00477F49" w:rsidP="003E7FB1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194604">
              <w:rPr>
                <w:rFonts w:ascii="Arial" w:hAnsi="Arial" w:cs="Arial"/>
                <w:i/>
                <w:sz w:val="18"/>
                <w:szCs w:val="18"/>
              </w:rPr>
              <w:t xml:space="preserve">С 01.01.2024 </w:t>
            </w:r>
            <w:r w:rsidR="00A61929" w:rsidRPr="001946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 даты возобновления торгов иностранными ценными бумагами </w:t>
            </w:r>
            <w:r w:rsidRPr="00194604">
              <w:rPr>
                <w:rFonts w:ascii="Arial" w:hAnsi="Arial" w:cs="Arial"/>
                <w:i/>
                <w:sz w:val="18"/>
                <w:szCs w:val="18"/>
              </w:rPr>
              <w:t>действует маркетинговый период, в течение которого не взимается плата</w:t>
            </w:r>
            <w:r w:rsidR="0078096A" w:rsidRPr="00194604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2C71FA" w:rsidRDefault="00FE6531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 xml:space="preserve">Плата взимается за каждую форму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W8BEN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,  которая не удовлетворяет Требованиям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ПАО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«СПБ Банк» к автоматизированной обработке форм идентификации лица</w:t>
            </w:r>
          </w:p>
          <w:p w:rsidR="00FE6531" w:rsidRPr="002C71FA" w:rsidRDefault="00FE6531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при выплате дохода по ценным бумагам эмитентов США</w:t>
            </w:r>
          </w:p>
        </w:tc>
      </w:tr>
      <w:tr w:rsidR="00FE6531" w:rsidRPr="002C71FA" w:rsidTr="00194604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2C71FA" w:rsidRDefault="00FE6531" w:rsidP="003E7FB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2C71FA" w:rsidRDefault="00FE6531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Прием и признание формы идентификации лица при выплате дохода по Ценным бумагам эмитентов США для юридических лиц резидентов и нерезидентов РФ  и физических лиц нерезидентов РФ.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31" w:rsidRPr="00194604" w:rsidRDefault="00FE6531" w:rsidP="003E7FB1">
            <w:pPr>
              <w:rPr>
                <w:rFonts w:ascii="Arial" w:hAnsi="Arial" w:cs="Arial"/>
                <w:sz w:val="18"/>
                <w:szCs w:val="18"/>
              </w:rPr>
            </w:pPr>
            <w:r w:rsidRPr="00194604">
              <w:rPr>
                <w:rFonts w:ascii="Arial" w:hAnsi="Arial" w:cs="Arial"/>
                <w:sz w:val="18"/>
                <w:szCs w:val="18"/>
              </w:rPr>
              <w:t>300 за операцию</w:t>
            </w:r>
            <w:r w:rsidR="00C700DF" w:rsidRPr="00194604">
              <w:rPr>
                <w:rFonts w:ascii="Arial" w:hAnsi="Arial" w:cs="Arial"/>
                <w:sz w:val="18"/>
                <w:szCs w:val="18"/>
              </w:rPr>
              <w:t>, не включая НДС*</w:t>
            </w:r>
          </w:p>
          <w:p w:rsidR="0078096A" w:rsidRPr="00194604" w:rsidRDefault="0078096A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194604">
              <w:rPr>
                <w:rFonts w:ascii="Arial" w:hAnsi="Arial" w:cs="Arial"/>
                <w:i/>
                <w:sz w:val="18"/>
                <w:szCs w:val="18"/>
              </w:rPr>
              <w:t xml:space="preserve">С 01.01.2024 </w:t>
            </w:r>
            <w:r w:rsidR="00A61929" w:rsidRPr="001946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 даты возобновления торгов иностранными ценными бумагами </w:t>
            </w:r>
            <w:r w:rsidRPr="00194604">
              <w:rPr>
                <w:rFonts w:ascii="Arial" w:hAnsi="Arial" w:cs="Arial"/>
                <w:i/>
                <w:sz w:val="18"/>
                <w:szCs w:val="18"/>
              </w:rPr>
              <w:t xml:space="preserve">действует маркетинговый </w:t>
            </w:r>
            <w:r w:rsidRPr="00194604">
              <w:rPr>
                <w:rFonts w:ascii="Arial" w:hAnsi="Arial" w:cs="Arial"/>
                <w:i/>
                <w:sz w:val="18"/>
                <w:szCs w:val="18"/>
              </w:rPr>
              <w:lastRenderedPageBreak/>
              <w:t>период, в течение которого не взимается плата.</w:t>
            </w:r>
            <w:bookmarkStart w:id="0" w:name="_GoBack"/>
            <w:bookmarkEnd w:id="0"/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531" w:rsidRPr="002C71FA" w:rsidRDefault="00FE6531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lastRenderedPageBreak/>
              <w:t xml:space="preserve">Плата взимается за каждую форму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W8BEN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W8BEN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-E,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W8EXP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W8ECI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W9</w:t>
            </w:r>
            <w:proofErr w:type="spellEnd"/>
            <w:r w:rsidRPr="002C71F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C71FA">
              <w:rPr>
                <w:rFonts w:ascii="Arial" w:hAnsi="Arial" w:cs="Arial"/>
                <w:sz w:val="18"/>
                <w:szCs w:val="18"/>
              </w:rPr>
              <w:t>W8IMY</w:t>
            </w:r>
            <w:proofErr w:type="spellEnd"/>
          </w:p>
          <w:p w:rsidR="00FE6531" w:rsidRPr="002C71FA" w:rsidRDefault="00FE6531" w:rsidP="003E7FB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FE6531" w:rsidRPr="002C71FA" w:rsidRDefault="00FE6531" w:rsidP="00FE6531">
      <w:pPr>
        <w:rPr>
          <w:rFonts w:ascii="Arial" w:eastAsiaTheme="minorHAnsi" w:hAnsi="Arial" w:cs="Arial"/>
          <w:sz w:val="18"/>
          <w:szCs w:val="18"/>
        </w:rPr>
      </w:pPr>
    </w:p>
    <w:p w:rsidR="00FE6531" w:rsidRPr="0034407A" w:rsidRDefault="00FE6531" w:rsidP="00FE6531">
      <w:pPr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 xml:space="preserve">*Услуга облагается НДС. НДС оплачивается сверх стоимости услуги в размере, установленном </w:t>
      </w:r>
      <w:proofErr w:type="spellStart"/>
      <w:r w:rsidRPr="002C71FA">
        <w:rPr>
          <w:rFonts w:ascii="Arial" w:hAnsi="Arial" w:cs="Arial"/>
          <w:sz w:val="18"/>
          <w:szCs w:val="18"/>
        </w:rPr>
        <w:t>НК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РФ</w:t>
      </w:r>
    </w:p>
    <w:p w:rsidR="00FE6531" w:rsidRPr="0034407A" w:rsidRDefault="00FE6531" w:rsidP="00FE6531">
      <w:pPr>
        <w:rPr>
          <w:rFonts w:ascii="Arial" w:hAnsi="Arial" w:cs="Arial"/>
          <w:sz w:val="18"/>
          <w:szCs w:val="18"/>
        </w:rPr>
      </w:pPr>
    </w:p>
    <w:p w:rsidR="00D17B6F" w:rsidRDefault="00D17B6F"/>
    <w:p w:rsidR="00B12FD3" w:rsidRDefault="00B12FD3"/>
    <w:p w:rsidR="00B12FD3" w:rsidRDefault="00B12FD3"/>
    <w:p w:rsidR="00B12FD3" w:rsidRDefault="00B12FD3"/>
    <w:p w:rsidR="00B12FD3" w:rsidRDefault="00B12FD3"/>
    <w:p w:rsidR="00D17B6F" w:rsidRDefault="00D17B6F"/>
    <w:p w:rsidR="00D17B6F" w:rsidRDefault="00D17B6F" w:rsidP="00D17B6F">
      <w:pPr>
        <w:jc w:val="center"/>
        <w:rPr>
          <w:rFonts w:ascii="Arial" w:hAnsi="Arial" w:cs="Arial"/>
          <w:b/>
          <w:sz w:val="18"/>
          <w:szCs w:val="18"/>
        </w:rPr>
      </w:pPr>
      <w:r w:rsidRPr="00D17B6F">
        <w:rPr>
          <w:rFonts w:ascii="Arial" w:hAnsi="Arial" w:cs="Arial"/>
          <w:b/>
          <w:bCs/>
          <w:sz w:val="18"/>
          <w:szCs w:val="18"/>
        </w:rPr>
        <w:t xml:space="preserve">Тарифы </w:t>
      </w:r>
      <w:proofErr w:type="spellStart"/>
      <w:r w:rsidRPr="00D17B6F">
        <w:rPr>
          <w:rFonts w:ascii="Arial" w:hAnsi="Arial" w:cs="Arial"/>
          <w:b/>
          <w:bCs/>
          <w:sz w:val="18"/>
          <w:szCs w:val="18"/>
        </w:rPr>
        <w:t>ПАО</w:t>
      </w:r>
      <w:proofErr w:type="spellEnd"/>
      <w:r w:rsidRPr="00D17B6F">
        <w:rPr>
          <w:rFonts w:ascii="Arial" w:hAnsi="Arial" w:cs="Arial"/>
          <w:b/>
          <w:bCs/>
          <w:sz w:val="18"/>
          <w:szCs w:val="18"/>
        </w:rPr>
        <w:t xml:space="preserve"> «СПБ Банк»</w:t>
      </w:r>
      <w:r w:rsidR="00B12FD3">
        <w:rPr>
          <w:rFonts w:ascii="Arial" w:hAnsi="Arial" w:cs="Arial"/>
          <w:b/>
          <w:bCs/>
          <w:sz w:val="18"/>
          <w:szCs w:val="18"/>
        </w:rPr>
        <w:t xml:space="preserve"> </w:t>
      </w:r>
      <w:r w:rsidR="0087424E">
        <w:rPr>
          <w:rFonts w:ascii="Arial" w:hAnsi="Arial" w:cs="Arial"/>
          <w:b/>
          <w:sz w:val="18"/>
          <w:szCs w:val="18"/>
        </w:rPr>
        <w:t>в рамках</w:t>
      </w:r>
      <w:r w:rsidRPr="00D17B6F">
        <w:rPr>
          <w:rFonts w:ascii="Arial" w:hAnsi="Arial" w:cs="Arial"/>
          <w:b/>
          <w:sz w:val="18"/>
          <w:szCs w:val="18"/>
        </w:rPr>
        <w:t xml:space="preserve"> предоставлени</w:t>
      </w:r>
      <w:r w:rsidR="0087424E">
        <w:rPr>
          <w:rFonts w:ascii="Arial" w:hAnsi="Arial" w:cs="Arial"/>
          <w:b/>
          <w:sz w:val="18"/>
          <w:szCs w:val="18"/>
        </w:rPr>
        <w:t>я</w:t>
      </w:r>
      <w:r w:rsidRPr="00D17B6F">
        <w:rPr>
          <w:rFonts w:ascii="Arial" w:hAnsi="Arial" w:cs="Arial"/>
          <w:b/>
          <w:sz w:val="18"/>
          <w:szCs w:val="18"/>
        </w:rPr>
        <w:t xml:space="preserve"> информации</w:t>
      </w:r>
    </w:p>
    <w:p w:rsidR="00D17B6F" w:rsidRPr="00D17B6F" w:rsidRDefault="00D17B6F" w:rsidP="00D17B6F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174"/>
        <w:gridCol w:w="1756"/>
        <w:gridCol w:w="2936"/>
      </w:tblGrid>
      <w:tr w:rsidR="00D17B6F" w:rsidRPr="00D17B6F" w:rsidTr="00315A99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B6F" w:rsidRPr="00D17B6F" w:rsidRDefault="00D17B6F" w:rsidP="00315A9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17B6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D17B6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D17B6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B6F" w:rsidRPr="00D17B6F" w:rsidRDefault="00D17B6F" w:rsidP="00315A9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17B6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B6F" w:rsidRPr="00D17B6F" w:rsidRDefault="00D17B6F" w:rsidP="00315A9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17B6F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услуги (руб</w:t>
            </w:r>
            <w:r w:rsidR="000F0E79" w:rsidRPr="00F6516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17B6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6F" w:rsidRPr="00D17B6F" w:rsidRDefault="00D17B6F" w:rsidP="00315A9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17B6F">
              <w:rPr>
                <w:rFonts w:ascii="Arial" w:hAnsi="Arial" w:cs="Arial"/>
                <w:b/>
                <w:bCs/>
                <w:sz w:val="18"/>
                <w:szCs w:val="18"/>
              </w:rPr>
              <w:t>Комментарий</w:t>
            </w:r>
          </w:p>
        </w:tc>
      </w:tr>
      <w:tr w:rsidR="00D17B6F" w:rsidRPr="00D17B6F" w:rsidTr="00F6516B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6F" w:rsidRPr="00D17B6F" w:rsidRDefault="00D17B6F" w:rsidP="00AC190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17B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47" w:rsidRDefault="00D17B6F" w:rsidP="00722B82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D17B6F">
              <w:rPr>
                <w:rFonts w:ascii="Arial" w:hAnsi="Arial" w:cs="Arial"/>
                <w:sz w:val="18"/>
                <w:szCs w:val="18"/>
              </w:rPr>
              <w:t>Предоставление информации</w:t>
            </w:r>
            <w:r w:rsidR="00AC1903">
              <w:rPr>
                <w:rFonts w:ascii="Arial" w:hAnsi="Arial" w:cs="Arial"/>
                <w:sz w:val="18"/>
                <w:szCs w:val="18"/>
              </w:rPr>
              <w:t xml:space="preserve"> в рамках аудиторских запросов</w:t>
            </w:r>
            <w:r w:rsidRPr="00D17B6F">
              <w:rPr>
                <w:rFonts w:ascii="Arial" w:hAnsi="Arial" w:cs="Arial"/>
                <w:sz w:val="18"/>
                <w:szCs w:val="18"/>
              </w:rPr>
              <w:t xml:space="preserve"> о наличии/ отсутствии счетов и субсчетов Депо; остатках и операциях (оборотах) на счетах и субсчетах Депо.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7B" w:rsidRDefault="00D17B6F" w:rsidP="00C700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17B6F">
              <w:rPr>
                <w:rFonts w:ascii="Arial" w:hAnsi="Arial" w:cs="Arial"/>
                <w:sz w:val="18"/>
                <w:szCs w:val="18"/>
              </w:rPr>
              <w:t>2000 за запрос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7B" w:rsidRDefault="00F45606" w:rsidP="00F6516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Оплата авансовая</w:t>
            </w:r>
          </w:p>
        </w:tc>
      </w:tr>
      <w:tr w:rsidR="00315A99" w:rsidRPr="00D17B6F" w:rsidTr="00F6516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99" w:rsidRPr="00315A99" w:rsidRDefault="00315A99" w:rsidP="00AC1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7B" w:rsidRDefault="00315A99" w:rsidP="00F651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услуг по предоставлению выписок</w:t>
            </w:r>
            <w:r w:rsidR="00D866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по закрытым счетам депо </w:t>
            </w:r>
            <w:r w:rsidRPr="00315A9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выписок по операциям по закрытым счетам депо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99" w:rsidRPr="00D866F8" w:rsidRDefault="00D866F8" w:rsidP="00C7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за выписку, не включая НДС</w:t>
            </w:r>
            <w:r w:rsidR="0012527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A99" w:rsidRPr="00D866F8" w:rsidRDefault="00D866F8" w:rsidP="00B7424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Оплата авансовая </w:t>
            </w:r>
          </w:p>
        </w:tc>
      </w:tr>
    </w:tbl>
    <w:p w:rsidR="003E7FB1" w:rsidRDefault="003E7FB1" w:rsidP="00D17B6F"/>
    <w:p w:rsidR="0012527B" w:rsidRPr="0034407A" w:rsidRDefault="0012527B" w:rsidP="0012527B">
      <w:pPr>
        <w:rPr>
          <w:rFonts w:ascii="Arial" w:hAnsi="Arial" w:cs="Arial"/>
          <w:sz w:val="18"/>
          <w:szCs w:val="18"/>
        </w:rPr>
      </w:pPr>
      <w:r>
        <w:t>*</w:t>
      </w:r>
      <w:r w:rsidRPr="0012527B">
        <w:rPr>
          <w:rFonts w:ascii="Arial" w:hAnsi="Arial" w:cs="Arial"/>
          <w:sz w:val="18"/>
          <w:szCs w:val="18"/>
        </w:rPr>
        <w:t xml:space="preserve"> </w:t>
      </w:r>
      <w:r w:rsidRPr="002C71FA">
        <w:rPr>
          <w:rFonts w:ascii="Arial" w:hAnsi="Arial" w:cs="Arial"/>
          <w:sz w:val="18"/>
          <w:szCs w:val="18"/>
        </w:rPr>
        <w:t xml:space="preserve">Услуга облагается НДС. НДС оплачивается сверх стоимости услуги в размере, установленном </w:t>
      </w:r>
      <w:proofErr w:type="spellStart"/>
      <w:r w:rsidRPr="002C71FA">
        <w:rPr>
          <w:rFonts w:ascii="Arial" w:hAnsi="Arial" w:cs="Arial"/>
          <w:sz w:val="18"/>
          <w:szCs w:val="18"/>
        </w:rPr>
        <w:t>НК</w:t>
      </w:r>
      <w:proofErr w:type="spellEnd"/>
      <w:r w:rsidRPr="002C71FA">
        <w:rPr>
          <w:rFonts w:ascii="Arial" w:hAnsi="Arial" w:cs="Arial"/>
          <w:sz w:val="18"/>
          <w:szCs w:val="18"/>
        </w:rPr>
        <w:t xml:space="preserve"> РФ</w:t>
      </w:r>
    </w:p>
    <w:p w:rsidR="0012527B" w:rsidRPr="0034407A" w:rsidRDefault="0012527B" w:rsidP="0012527B">
      <w:pPr>
        <w:rPr>
          <w:rFonts w:ascii="Arial" w:hAnsi="Arial" w:cs="Arial"/>
          <w:sz w:val="18"/>
          <w:szCs w:val="18"/>
        </w:rPr>
      </w:pPr>
    </w:p>
    <w:p w:rsidR="0012527B" w:rsidRDefault="0012527B" w:rsidP="00D17B6F"/>
    <w:sectPr w:rsidR="0012527B" w:rsidSect="003E7FB1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5E" w:rsidRDefault="000E025E">
      <w:r>
        <w:separator/>
      </w:r>
    </w:p>
  </w:endnote>
  <w:endnote w:type="continuationSeparator" w:id="0">
    <w:p w:rsidR="000E025E" w:rsidRDefault="000E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14299"/>
      <w:docPartObj>
        <w:docPartGallery w:val="Page Numbers (Bottom of Page)"/>
        <w:docPartUnique/>
      </w:docPartObj>
    </w:sdtPr>
    <w:sdtEndPr/>
    <w:sdtContent>
      <w:p w:rsidR="00C700DF" w:rsidRDefault="00477F49">
        <w:pPr>
          <w:pStyle w:val="ab"/>
          <w:jc w:val="center"/>
        </w:pPr>
        <w:r>
          <w:fldChar w:fldCharType="begin"/>
        </w:r>
        <w:r w:rsidR="00B00318">
          <w:instrText xml:space="preserve"> PAGE   \* MERGEFORMAT </w:instrText>
        </w:r>
        <w:r>
          <w:fldChar w:fldCharType="separate"/>
        </w:r>
        <w:r w:rsidR="001946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00DF" w:rsidRDefault="00C700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5E" w:rsidRDefault="000E025E">
      <w:r>
        <w:separator/>
      </w:r>
    </w:p>
  </w:footnote>
  <w:footnote w:type="continuationSeparator" w:id="0">
    <w:p w:rsidR="000E025E" w:rsidRDefault="000E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C77"/>
    <w:multiLevelType w:val="hybridMultilevel"/>
    <w:tmpl w:val="58E01534"/>
    <w:lvl w:ilvl="0" w:tplc="041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41ACA"/>
    <w:multiLevelType w:val="hybridMultilevel"/>
    <w:tmpl w:val="E3F82AD0"/>
    <w:lvl w:ilvl="0" w:tplc="0419000D">
      <w:start w:val="1"/>
      <w:numFmt w:val="bullet"/>
      <w:lvlText w:val=""/>
      <w:lvlJc w:val="left"/>
      <w:pPr>
        <w:ind w:left="2136" w:hanging="72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531"/>
    <w:rsid w:val="000A18D6"/>
    <w:rsid w:val="000A61C0"/>
    <w:rsid w:val="000B7AE6"/>
    <w:rsid w:val="000D49D0"/>
    <w:rsid w:val="000E025E"/>
    <w:rsid w:val="000F0E79"/>
    <w:rsid w:val="000F3CD9"/>
    <w:rsid w:val="0012527B"/>
    <w:rsid w:val="00172D5A"/>
    <w:rsid w:val="00184DF1"/>
    <w:rsid w:val="00194604"/>
    <w:rsid w:val="001A2EB0"/>
    <w:rsid w:val="001B07F0"/>
    <w:rsid w:val="001B1E1B"/>
    <w:rsid w:val="001B58D6"/>
    <w:rsid w:val="002003CA"/>
    <w:rsid w:val="00256942"/>
    <w:rsid w:val="002C0EA9"/>
    <w:rsid w:val="002C71FA"/>
    <w:rsid w:val="002E206F"/>
    <w:rsid w:val="002F0732"/>
    <w:rsid w:val="002F0E61"/>
    <w:rsid w:val="00315A99"/>
    <w:rsid w:val="00324195"/>
    <w:rsid w:val="003303B2"/>
    <w:rsid w:val="00381758"/>
    <w:rsid w:val="00395A72"/>
    <w:rsid w:val="003B7D3A"/>
    <w:rsid w:val="003E7FB1"/>
    <w:rsid w:val="003F02B8"/>
    <w:rsid w:val="004043AD"/>
    <w:rsid w:val="00421579"/>
    <w:rsid w:val="00426922"/>
    <w:rsid w:val="00440B30"/>
    <w:rsid w:val="00477F49"/>
    <w:rsid w:val="00481DD2"/>
    <w:rsid w:val="004D120F"/>
    <w:rsid w:val="004D6579"/>
    <w:rsid w:val="004E637F"/>
    <w:rsid w:val="004F18CD"/>
    <w:rsid w:val="004F60E6"/>
    <w:rsid w:val="005002C9"/>
    <w:rsid w:val="005215A8"/>
    <w:rsid w:val="005B33CA"/>
    <w:rsid w:val="005E1B0A"/>
    <w:rsid w:val="006376BF"/>
    <w:rsid w:val="00641356"/>
    <w:rsid w:val="00672B10"/>
    <w:rsid w:val="006754AB"/>
    <w:rsid w:val="006769BD"/>
    <w:rsid w:val="006A5021"/>
    <w:rsid w:val="006D29DD"/>
    <w:rsid w:val="00722B82"/>
    <w:rsid w:val="00725FD8"/>
    <w:rsid w:val="00745E12"/>
    <w:rsid w:val="00780941"/>
    <w:rsid w:val="0078096A"/>
    <w:rsid w:val="00782F02"/>
    <w:rsid w:val="00795862"/>
    <w:rsid w:val="007D149E"/>
    <w:rsid w:val="0087424E"/>
    <w:rsid w:val="0088009C"/>
    <w:rsid w:val="008B4C01"/>
    <w:rsid w:val="008D0F87"/>
    <w:rsid w:val="008E4F33"/>
    <w:rsid w:val="00911C0B"/>
    <w:rsid w:val="00921DF4"/>
    <w:rsid w:val="00963C77"/>
    <w:rsid w:val="00971D18"/>
    <w:rsid w:val="009A49E0"/>
    <w:rsid w:val="009B200E"/>
    <w:rsid w:val="00A61929"/>
    <w:rsid w:val="00A662AB"/>
    <w:rsid w:val="00AA6958"/>
    <w:rsid w:val="00AC148D"/>
    <w:rsid w:val="00AC1903"/>
    <w:rsid w:val="00B00318"/>
    <w:rsid w:val="00B03B3E"/>
    <w:rsid w:val="00B12FD3"/>
    <w:rsid w:val="00B222C5"/>
    <w:rsid w:val="00B36501"/>
    <w:rsid w:val="00B36B28"/>
    <w:rsid w:val="00B426C4"/>
    <w:rsid w:val="00B42E3B"/>
    <w:rsid w:val="00B53EEC"/>
    <w:rsid w:val="00B664AD"/>
    <w:rsid w:val="00B74247"/>
    <w:rsid w:val="00B9715B"/>
    <w:rsid w:val="00B97B59"/>
    <w:rsid w:val="00BC20C9"/>
    <w:rsid w:val="00BD114B"/>
    <w:rsid w:val="00BD551A"/>
    <w:rsid w:val="00C16429"/>
    <w:rsid w:val="00C229B4"/>
    <w:rsid w:val="00C700DF"/>
    <w:rsid w:val="00CB0CCC"/>
    <w:rsid w:val="00CB3205"/>
    <w:rsid w:val="00CB5CDC"/>
    <w:rsid w:val="00CD0904"/>
    <w:rsid w:val="00CF79D3"/>
    <w:rsid w:val="00D17B6F"/>
    <w:rsid w:val="00D621E5"/>
    <w:rsid w:val="00D866F8"/>
    <w:rsid w:val="00DC205B"/>
    <w:rsid w:val="00E226CE"/>
    <w:rsid w:val="00E2616B"/>
    <w:rsid w:val="00E42E51"/>
    <w:rsid w:val="00E45D5D"/>
    <w:rsid w:val="00E51CD7"/>
    <w:rsid w:val="00E51FCC"/>
    <w:rsid w:val="00E547E8"/>
    <w:rsid w:val="00E611B4"/>
    <w:rsid w:val="00EA42D7"/>
    <w:rsid w:val="00EC7D20"/>
    <w:rsid w:val="00EF6C18"/>
    <w:rsid w:val="00F002E8"/>
    <w:rsid w:val="00F30BCE"/>
    <w:rsid w:val="00F453AF"/>
    <w:rsid w:val="00F45606"/>
    <w:rsid w:val="00F50DB2"/>
    <w:rsid w:val="00F6516B"/>
    <w:rsid w:val="00F97F30"/>
    <w:rsid w:val="00FA41F9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653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E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FE6531"/>
    <w:pPr>
      <w:ind w:left="709" w:hanging="709"/>
      <w:jc w:val="center"/>
    </w:pPr>
    <w:rPr>
      <w:rFonts w:ascii="Arial CYR" w:eastAsiaTheme="minorHAnsi" w:hAnsi="Arial CYR" w:cs="Arial CYR"/>
      <w:b/>
      <w:bCs/>
    </w:rPr>
  </w:style>
  <w:style w:type="character" w:styleId="a5">
    <w:name w:val="annotation reference"/>
    <w:basedOn w:val="a0"/>
    <w:uiPriority w:val="99"/>
    <w:semiHidden/>
    <w:unhideWhenUsed/>
    <w:rsid w:val="00FE653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E6531"/>
  </w:style>
  <w:style w:type="character" w:customStyle="1" w:styleId="a7">
    <w:name w:val="Текст примечания Знак"/>
    <w:basedOn w:val="a0"/>
    <w:link w:val="a6"/>
    <w:uiPriority w:val="99"/>
    <w:semiHidden/>
    <w:rsid w:val="00FE6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6531"/>
    <w:pPr>
      <w:spacing w:after="200"/>
      <w:ind w:left="720"/>
      <w:contextualSpacing/>
      <w:jc w:val="both"/>
    </w:pPr>
    <w:rPr>
      <w:rFonts w:asciiTheme="minorHAnsi" w:eastAsiaTheme="minorEastAsia" w:hAnsiTheme="minorHAnsi" w:cstheme="minorBidi"/>
      <w:lang w:eastAsia="ja-JP"/>
    </w:rPr>
  </w:style>
  <w:style w:type="table" w:styleId="a9">
    <w:name w:val="Table Grid"/>
    <w:basedOn w:val="a1"/>
    <w:uiPriority w:val="59"/>
    <w:rsid w:val="00FE653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Îáû÷íûé"/>
    <w:uiPriority w:val="99"/>
    <w:rsid w:val="00FE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6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6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65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5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1B07F0"/>
    <w:rPr>
      <w:b/>
      <w:bCs/>
      <w:sz w:val="20"/>
      <w:szCs w:val="20"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1B0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CF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653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E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FE6531"/>
    <w:pPr>
      <w:ind w:left="709" w:hanging="709"/>
      <w:jc w:val="center"/>
    </w:pPr>
    <w:rPr>
      <w:rFonts w:ascii="Arial CYR" w:eastAsiaTheme="minorHAnsi" w:hAnsi="Arial CYR" w:cs="Arial CYR"/>
      <w:b/>
      <w:bCs/>
    </w:rPr>
  </w:style>
  <w:style w:type="character" w:styleId="a5">
    <w:name w:val="annotation reference"/>
    <w:basedOn w:val="a0"/>
    <w:uiPriority w:val="99"/>
    <w:semiHidden/>
    <w:unhideWhenUsed/>
    <w:rsid w:val="00FE653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E6531"/>
  </w:style>
  <w:style w:type="character" w:customStyle="1" w:styleId="a7">
    <w:name w:val="Текст примечания Знак"/>
    <w:basedOn w:val="a0"/>
    <w:link w:val="a6"/>
    <w:uiPriority w:val="99"/>
    <w:semiHidden/>
    <w:rsid w:val="00FE6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6531"/>
    <w:pPr>
      <w:spacing w:after="200"/>
      <w:ind w:left="720"/>
      <w:contextualSpacing/>
      <w:jc w:val="both"/>
    </w:pPr>
    <w:rPr>
      <w:rFonts w:asciiTheme="minorHAnsi" w:eastAsiaTheme="minorEastAsia" w:hAnsiTheme="minorHAnsi" w:cstheme="minorBidi"/>
      <w:lang w:eastAsia="ja-JP"/>
    </w:rPr>
  </w:style>
  <w:style w:type="table" w:styleId="a9">
    <w:name w:val="Table Grid"/>
    <w:basedOn w:val="a1"/>
    <w:uiPriority w:val="59"/>
    <w:rsid w:val="00FE653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Îáû÷íûé"/>
    <w:uiPriority w:val="99"/>
    <w:rsid w:val="00FE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6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6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65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5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1B07F0"/>
    <w:rPr>
      <w:b/>
      <w:bCs/>
      <w:sz w:val="20"/>
      <w:szCs w:val="20"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1B0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CF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 Олег Ирекович</dc:creator>
  <cp:lastModifiedBy>Нафиков Олег Ирекович</cp:lastModifiedBy>
  <cp:revision>11</cp:revision>
  <cp:lastPrinted>2023-05-15T12:53:00Z</cp:lastPrinted>
  <dcterms:created xsi:type="dcterms:W3CDTF">2024-01-10T12:07:00Z</dcterms:created>
  <dcterms:modified xsi:type="dcterms:W3CDTF">2024-06-18T11:22:00Z</dcterms:modified>
</cp:coreProperties>
</file>