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B" w:rsidRPr="00740F8E"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lastRenderedPageBreak/>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w:t>
      </w:r>
      <w:r w:rsidR="00450DFB">
        <w:rPr>
          <w:rFonts w:ascii="Arial" w:hAnsi="Arial" w:cs="Arial"/>
          <w:sz w:val="20"/>
          <w:szCs w:val="20"/>
        </w:rPr>
        <w:t>,</w:t>
      </w:r>
      <w:r w:rsidR="00450DFB" w:rsidRPr="00450DFB">
        <w:rPr>
          <w:rFonts w:ascii="Arial" w:hAnsi="Arial" w:cs="Arial"/>
          <w:sz w:val="20"/>
          <w:szCs w:val="20"/>
        </w:rPr>
        <w:t xml:space="preserve"> </w:t>
      </w:r>
      <w:r w:rsidR="00450DFB" w:rsidRPr="00B52563">
        <w:rPr>
          <w:rFonts w:ascii="Arial" w:hAnsi="Arial" w:cs="Arial"/>
          <w:sz w:val="20"/>
          <w:szCs w:val="20"/>
        </w:rPr>
        <w:t>кроме расчетных депозитариев</w:t>
      </w:r>
      <w:r w:rsidR="00450DFB">
        <w:rPr>
          <w:rFonts w:ascii="Arial" w:hAnsi="Arial" w:cs="Arial"/>
          <w:sz w:val="20"/>
          <w:szCs w:val="20"/>
        </w:rPr>
        <w:t>,</w:t>
      </w:r>
      <w:r w:rsidR="001F53B6">
        <w:rPr>
          <w:rFonts w:ascii="Arial" w:hAnsi="Arial" w:cs="Arial"/>
          <w:sz w:val="20"/>
          <w:szCs w:val="20"/>
        </w:rPr>
        <w:t xml:space="preserve">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1000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4D657B" w:rsidRDefault="004D657B">
      <w:pPr>
        <w:rPr>
          <w:rFonts w:ascii="Arial" w:hAnsi="Arial" w:cs="Arial"/>
          <w:sz w:val="20"/>
          <w:szCs w:val="20"/>
        </w:rPr>
      </w:pPr>
    </w:p>
    <w:p w:rsidR="00D22D79" w:rsidRDefault="00D22D79" w:rsidP="002304B2">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sidR="009E79C4">
        <w:rPr>
          <w:rFonts w:ascii="Arial" w:hAnsi="Arial" w:cs="Arial"/>
          <w:b/>
          <w:sz w:val="20"/>
          <w:szCs w:val="20"/>
        </w:rPr>
        <w:t>по п</w:t>
      </w:r>
      <w:r w:rsidR="009E79C4" w:rsidRPr="009E79C4">
        <w:rPr>
          <w:rFonts w:ascii="Arial" w:hAnsi="Arial" w:cs="Arial"/>
          <w:b/>
          <w:sz w:val="20"/>
          <w:szCs w:val="20"/>
        </w:rPr>
        <w:t>рием</w:t>
      </w:r>
      <w:r w:rsidR="006F00F0">
        <w:rPr>
          <w:rFonts w:ascii="Arial" w:hAnsi="Arial" w:cs="Arial"/>
          <w:b/>
          <w:sz w:val="20"/>
          <w:szCs w:val="20"/>
        </w:rPr>
        <w:t>у и признанию</w:t>
      </w:r>
      <w:r w:rsidR="009E79C4" w:rsidRPr="009E79C4">
        <w:rPr>
          <w:rFonts w:ascii="Arial" w:hAnsi="Arial" w:cs="Arial"/>
          <w:b/>
          <w:sz w:val="20"/>
          <w:szCs w:val="20"/>
        </w:rPr>
        <w:t xml:space="preserve"> формы идентификации</w:t>
      </w:r>
      <w:r w:rsidR="009E79C4">
        <w:rPr>
          <w:rFonts w:ascii="Arial" w:hAnsi="Arial" w:cs="Arial"/>
          <w:b/>
          <w:sz w:val="20"/>
          <w:szCs w:val="20"/>
        </w:rPr>
        <w:t xml:space="preserve"> лица </w:t>
      </w:r>
      <w:r w:rsidRPr="002304B2">
        <w:rPr>
          <w:rFonts w:ascii="Arial" w:hAnsi="Arial" w:cs="Arial"/>
          <w:b/>
          <w:sz w:val="20"/>
          <w:szCs w:val="20"/>
        </w:rPr>
        <w:t>при выплат</w:t>
      </w:r>
      <w:r w:rsidR="00BB233E">
        <w:rPr>
          <w:rFonts w:ascii="Arial" w:hAnsi="Arial" w:cs="Arial"/>
          <w:b/>
          <w:sz w:val="20"/>
          <w:szCs w:val="20"/>
        </w:rPr>
        <w:t>е</w:t>
      </w:r>
      <w:r w:rsidRPr="002304B2">
        <w:rPr>
          <w:rFonts w:ascii="Arial" w:hAnsi="Arial" w:cs="Arial"/>
          <w:b/>
          <w:sz w:val="20"/>
          <w:szCs w:val="20"/>
        </w:rPr>
        <w:t xml:space="preserve"> </w:t>
      </w:r>
      <w:r w:rsidR="00BB233E">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sidR="00BB233E">
        <w:rPr>
          <w:rFonts w:ascii="Arial" w:hAnsi="Arial" w:cs="Arial"/>
          <w:b/>
          <w:sz w:val="20"/>
          <w:szCs w:val="20"/>
        </w:rPr>
        <w:t>(</w:t>
      </w:r>
      <w:r w:rsidR="003E31C5">
        <w:rPr>
          <w:rFonts w:ascii="Arial" w:hAnsi="Arial" w:cs="Arial"/>
          <w:b/>
          <w:sz w:val="20"/>
          <w:szCs w:val="20"/>
        </w:rPr>
        <w:t>далее - Ц</w:t>
      </w:r>
      <w:r w:rsidRPr="002304B2">
        <w:rPr>
          <w:rFonts w:ascii="Arial" w:hAnsi="Arial" w:cs="Arial"/>
          <w:b/>
          <w:sz w:val="20"/>
          <w:szCs w:val="20"/>
        </w:rPr>
        <w:t>енны</w:t>
      </w:r>
      <w:r w:rsidR="00BB233E">
        <w:rPr>
          <w:rFonts w:ascii="Arial" w:hAnsi="Arial" w:cs="Arial"/>
          <w:b/>
          <w:sz w:val="20"/>
          <w:szCs w:val="20"/>
        </w:rPr>
        <w:t>е бумаги</w:t>
      </w:r>
      <w:r w:rsidR="002304B2">
        <w:rPr>
          <w:rFonts w:ascii="Arial" w:hAnsi="Arial" w:cs="Arial"/>
          <w:b/>
          <w:sz w:val="20"/>
          <w:szCs w:val="20"/>
        </w:rPr>
        <w:t xml:space="preserve"> эмитентов</w:t>
      </w:r>
      <w:r w:rsidR="003E31C5" w:rsidRPr="003E31C5">
        <w:rPr>
          <w:rFonts w:ascii="Arial" w:hAnsi="Arial" w:cs="Arial"/>
          <w:b/>
          <w:sz w:val="20"/>
          <w:szCs w:val="20"/>
        </w:rPr>
        <w:t xml:space="preserve"> </w:t>
      </w:r>
      <w:r w:rsidR="003E31C5">
        <w:rPr>
          <w:rFonts w:ascii="Arial" w:hAnsi="Arial" w:cs="Arial"/>
          <w:b/>
          <w:sz w:val="20"/>
          <w:szCs w:val="20"/>
        </w:rPr>
        <w:t>США</w:t>
      </w:r>
      <w:r w:rsidR="00BB233E">
        <w:rPr>
          <w:rFonts w:ascii="Arial" w:hAnsi="Arial" w:cs="Arial"/>
          <w:b/>
          <w:sz w:val="20"/>
          <w:szCs w:val="20"/>
        </w:rPr>
        <w:t>)</w:t>
      </w:r>
      <w:r w:rsidR="00DD5D1C">
        <w:rPr>
          <w:rFonts w:ascii="Arial" w:hAnsi="Arial" w:cs="Arial"/>
          <w:b/>
          <w:sz w:val="20"/>
          <w:szCs w:val="20"/>
        </w:rPr>
        <w:t>*</w:t>
      </w:r>
      <w:r w:rsidRPr="002304B2">
        <w:rPr>
          <w:rFonts w:ascii="Arial" w:hAnsi="Arial" w:cs="Arial"/>
          <w:b/>
          <w:sz w:val="20"/>
          <w:szCs w:val="20"/>
        </w:rPr>
        <w:t>.</w:t>
      </w:r>
    </w:p>
    <w:p w:rsidR="00D22D79" w:rsidRDefault="00D22D79" w:rsidP="002304B2">
      <w:pPr>
        <w:jc w:val="center"/>
        <w:rPr>
          <w:rFonts w:ascii="Arial" w:hAnsi="Arial" w:cs="Arial"/>
          <w:b/>
          <w:sz w:val="20"/>
          <w:szCs w:val="20"/>
        </w:rPr>
      </w:pPr>
    </w:p>
    <w:tbl>
      <w:tblPr>
        <w:tblStyle w:val="af"/>
        <w:tblW w:w="0" w:type="auto"/>
        <w:tblLook w:val="04A0"/>
      </w:tblPr>
      <w:tblGrid>
        <w:gridCol w:w="699"/>
        <w:gridCol w:w="4174"/>
        <w:gridCol w:w="1756"/>
        <w:gridCol w:w="2936"/>
      </w:tblGrid>
      <w:tr w:rsidR="002304B2" w:rsidTr="0017568D">
        <w:tc>
          <w:tcPr>
            <w:tcW w:w="699" w:type="dxa"/>
            <w:vAlign w:val="center"/>
          </w:tcPr>
          <w:p w:rsidR="002304B2" w:rsidRDefault="002304B2" w:rsidP="002304B2">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2304B2" w:rsidRDefault="002304B2" w:rsidP="002304B2">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2304B2" w:rsidRPr="00213C95" w:rsidRDefault="002304B2" w:rsidP="002304B2">
            <w:pPr>
              <w:jc w:val="center"/>
              <w:rPr>
                <w:rFonts w:ascii="Arial" w:hAnsi="Arial" w:cs="Arial"/>
                <w:b/>
                <w:bCs/>
                <w:sz w:val="20"/>
                <w:szCs w:val="20"/>
              </w:rPr>
            </w:pPr>
            <w:r>
              <w:rPr>
                <w:rFonts w:ascii="Arial" w:hAnsi="Arial" w:cs="Arial"/>
                <w:b/>
                <w:bCs/>
                <w:sz w:val="20"/>
                <w:szCs w:val="20"/>
              </w:rPr>
              <w:t>Комментарий</w:t>
            </w:r>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sidR="003E31C5">
              <w:rPr>
                <w:rFonts w:ascii="Arial" w:hAnsi="Arial" w:cs="Arial"/>
                <w:sz w:val="20"/>
                <w:szCs w:val="20"/>
              </w:rPr>
              <w:t>Ц</w:t>
            </w:r>
            <w:r w:rsidR="00BB233E">
              <w:rPr>
                <w:rFonts w:ascii="Arial" w:hAnsi="Arial" w:cs="Arial"/>
                <w:sz w:val="20"/>
                <w:szCs w:val="20"/>
              </w:rPr>
              <w:t xml:space="preserve">енным </w:t>
            </w:r>
            <w:r>
              <w:rPr>
                <w:rFonts w:ascii="Arial" w:hAnsi="Arial" w:cs="Arial"/>
                <w:sz w:val="20"/>
                <w:szCs w:val="20"/>
              </w:rPr>
              <w:t>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sidR="003E31C5">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17568D" w:rsidRPr="0017568D" w:rsidRDefault="002304B2" w:rsidP="0017568D">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w:t>
            </w:r>
            <w:r w:rsidR="00327BA3" w:rsidRPr="0017568D">
              <w:rPr>
                <w:rFonts w:ascii="Arial" w:hAnsi="Arial" w:cs="Arial"/>
                <w:sz w:val="20"/>
                <w:szCs w:val="20"/>
              </w:rPr>
              <w:t xml:space="preserve"> </w:t>
            </w:r>
            <w:r w:rsidR="0017568D" w:rsidRPr="0017568D">
              <w:rPr>
                <w:rFonts w:ascii="Arial" w:hAnsi="Arial" w:cs="Arial"/>
                <w:sz w:val="20"/>
                <w:szCs w:val="20"/>
              </w:rPr>
              <w:t>форм</w:t>
            </w:r>
            <w:r w:rsidR="0017568D">
              <w:rPr>
                <w:rFonts w:ascii="Arial" w:hAnsi="Arial" w:cs="Arial"/>
                <w:sz w:val="20"/>
                <w:szCs w:val="20"/>
              </w:rPr>
              <w:t xml:space="preserve"> идентификации</w:t>
            </w:r>
            <w:r w:rsidR="0017568D" w:rsidRPr="0017568D">
              <w:rPr>
                <w:rFonts w:ascii="Arial" w:hAnsi="Arial" w:cs="Arial"/>
                <w:sz w:val="20"/>
                <w:szCs w:val="20"/>
              </w:rPr>
              <w:t xml:space="preserve"> лиц</w:t>
            </w:r>
            <w:r w:rsidR="0017568D">
              <w:rPr>
                <w:rFonts w:ascii="Arial" w:hAnsi="Arial" w:cs="Arial"/>
                <w:sz w:val="20"/>
                <w:szCs w:val="20"/>
              </w:rPr>
              <w:t>а</w:t>
            </w:r>
          </w:p>
          <w:p w:rsidR="002304B2" w:rsidRPr="002304B2" w:rsidRDefault="0017568D" w:rsidP="003E31C5">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003E31C5">
              <w:rPr>
                <w:rFonts w:ascii="Arial" w:hAnsi="Arial" w:cs="Arial"/>
                <w:sz w:val="20"/>
                <w:szCs w:val="20"/>
              </w:rPr>
              <w:t xml:space="preserve"> США</w:t>
            </w:r>
            <w:bookmarkStart w:id="0" w:name="_GoBack"/>
            <w:bookmarkEnd w:id="0"/>
          </w:p>
        </w:tc>
      </w:tr>
      <w:tr w:rsidR="002304B2" w:rsidTr="0017568D">
        <w:tc>
          <w:tcPr>
            <w:tcW w:w="699" w:type="dxa"/>
          </w:tcPr>
          <w:p w:rsidR="002304B2" w:rsidRPr="002304B2" w:rsidRDefault="002304B2" w:rsidP="002304B2">
            <w:pPr>
              <w:jc w:val="center"/>
              <w:rPr>
                <w:rFonts w:ascii="Arial" w:hAnsi="Arial" w:cs="Arial"/>
                <w:sz w:val="20"/>
                <w:szCs w:val="20"/>
              </w:rPr>
            </w:pPr>
            <w:r w:rsidRPr="002304B2">
              <w:rPr>
                <w:rFonts w:ascii="Arial" w:hAnsi="Arial" w:cs="Arial"/>
                <w:sz w:val="20"/>
                <w:szCs w:val="20"/>
              </w:rPr>
              <w:t>2.</w:t>
            </w:r>
          </w:p>
        </w:tc>
        <w:tc>
          <w:tcPr>
            <w:tcW w:w="4174" w:type="dxa"/>
          </w:tcPr>
          <w:p w:rsidR="002304B2" w:rsidRPr="002304B2" w:rsidRDefault="002304B2" w:rsidP="003E31C5">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sidR="003E31C5">
              <w:rPr>
                <w:rFonts w:ascii="Arial" w:hAnsi="Arial" w:cs="Arial"/>
                <w:sz w:val="20"/>
                <w:szCs w:val="20"/>
              </w:rPr>
              <w:t>Ценным бумагам</w:t>
            </w:r>
            <w:r w:rsidR="003E31C5" w:rsidRPr="00CE1B82">
              <w:rPr>
                <w:rFonts w:ascii="Arial" w:hAnsi="Arial" w:cs="Arial"/>
                <w:sz w:val="20"/>
                <w:szCs w:val="20"/>
              </w:rPr>
              <w:t xml:space="preserve"> </w:t>
            </w:r>
            <w:r w:rsidR="003E31C5">
              <w:rPr>
                <w:rFonts w:ascii="Arial" w:hAnsi="Arial" w:cs="Arial"/>
                <w:sz w:val="20"/>
                <w:szCs w:val="20"/>
              </w:rPr>
              <w:t>эмитентов</w:t>
            </w:r>
            <w:r w:rsidR="003E31C5" w:rsidRPr="002304B2">
              <w:rPr>
                <w:rFonts w:ascii="Arial" w:hAnsi="Arial" w:cs="Arial"/>
                <w:sz w:val="20"/>
                <w:szCs w:val="20"/>
              </w:rPr>
              <w:t xml:space="preserve"> </w:t>
            </w:r>
            <w:r w:rsidR="003E31C5">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2304B2" w:rsidRPr="002304B2" w:rsidRDefault="00DD5D1C" w:rsidP="00327BA3">
            <w:pPr>
              <w:rPr>
                <w:rFonts w:ascii="Arial" w:hAnsi="Arial" w:cs="Arial"/>
                <w:sz w:val="20"/>
                <w:szCs w:val="20"/>
              </w:rPr>
            </w:pPr>
            <w:r>
              <w:rPr>
                <w:rFonts w:ascii="Arial" w:hAnsi="Arial" w:cs="Arial"/>
                <w:sz w:val="20"/>
                <w:szCs w:val="20"/>
              </w:rPr>
              <w:t>200 за операцию</w:t>
            </w:r>
          </w:p>
        </w:tc>
        <w:tc>
          <w:tcPr>
            <w:tcW w:w="2936" w:type="dxa"/>
          </w:tcPr>
          <w:p w:rsidR="00327BA3" w:rsidRPr="00D22D79" w:rsidRDefault="00327BA3" w:rsidP="00327BA3">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2304B2" w:rsidRPr="002304B2" w:rsidRDefault="002304B2" w:rsidP="00D22D79">
            <w:pPr>
              <w:rPr>
                <w:rFonts w:ascii="Arial" w:hAnsi="Arial" w:cs="Arial"/>
                <w:sz w:val="20"/>
                <w:szCs w:val="20"/>
              </w:rPr>
            </w:pPr>
          </w:p>
        </w:tc>
      </w:tr>
    </w:tbl>
    <w:p w:rsidR="00D22D79" w:rsidRPr="0029685D" w:rsidRDefault="00327BA3" w:rsidP="00D22D79">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29685D" w:rsidRPr="0029685D" w:rsidRDefault="0029685D" w:rsidP="00D22D79">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sectPr w:rsidR="0029685D" w:rsidRPr="0029685D" w:rsidSect="001E6C7B">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useFELayout/>
  </w:compat>
  <w:rsids>
    <w:rsidRoot w:val="00E135E6"/>
    <w:rsid w:val="000452CB"/>
    <w:rsid w:val="00143675"/>
    <w:rsid w:val="0016299D"/>
    <w:rsid w:val="0017568D"/>
    <w:rsid w:val="001A47C7"/>
    <w:rsid w:val="001E3C02"/>
    <w:rsid w:val="001E6C7B"/>
    <w:rsid w:val="001F53B6"/>
    <w:rsid w:val="002304B2"/>
    <w:rsid w:val="00252B85"/>
    <w:rsid w:val="0029685D"/>
    <w:rsid w:val="002C34D8"/>
    <w:rsid w:val="002D3D65"/>
    <w:rsid w:val="002F551E"/>
    <w:rsid w:val="00327BA3"/>
    <w:rsid w:val="00355356"/>
    <w:rsid w:val="003A7B38"/>
    <w:rsid w:val="003C6B4A"/>
    <w:rsid w:val="003E31C5"/>
    <w:rsid w:val="00437970"/>
    <w:rsid w:val="004433C2"/>
    <w:rsid w:val="00450DFB"/>
    <w:rsid w:val="00455EA6"/>
    <w:rsid w:val="004B0411"/>
    <w:rsid w:val="004B50D9"/>
    <w:rsid w:val="004D657B"/>
    <w:rsid w:val="004F27D0"/>
    <w:rsid w:val="00515475"/>
    <w:rsid w:val="0051720E"/>
    <w:rsid w:val="00587600"/>
    <w:rsid w:val="00642E59"/>
    <w:rsid w:val="00653C88"/>
    <w:rsid w:val="00660536"/>
    <w:rsid w:val="006A7CEA"/>
    <w:rsid w:val="006C2993"/>
    <w:rsid w:val="006F00F0"/>
    <w:rsid w:val="00740F8E"/>
    <w:rsid w:val="0076344E"/>
    <w:rsid w:val="007A7D3E"/>
    <w:rsid w:val="007F57F9"/>
    <w:rsid w:val="008269AA"/>
    <w:rsid w:val="008B5F93"/>
    <w:rsid w:val="009C5F01"/>
    <w:rsid w:val="009E79C4"/>
    <w:rsid w:val="00A74749"/>
    <w:rsid w:val="00A755E1"/>
    <w:rsid w:val="00B047DA"/>
    <w:rsid w:val="00B1460C"/>
    <w:rsid w:val="00B52563"/>
    <w:rsid w:val="00BA0374"/>
    <w:rsid w:val="00BB233E"/>
    <w:rsid w:val="00BB69A6"/>
    <w:rsid w:val="00C653DF"/>
    <w:rsid w:val="00C8255A"/>
    <w:rsid w:val="00CD6BE1"/>
    <w:rsid w:val="00D22D79"/>
    <w:rsid w:val="00D52BD0"/>
    <w:rsid w:val="00D619DD"/>
    <w:rsid w:val="00D772D2"/>
    <w:rsid w:val="00DA7C40"/>
    <w:rsid w:val="00DB1078"/>
    <w:rsid w:val="00DB35E1"/>
    <w:rsid w:val="00DC41C0"/>
    <w:rsid w:val="00DD5D1C"/>
    <w:rsid w:val="00E135E6"/>
    <w:rsid w:val="00E41FF8"/>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134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91D8-E82D-4860-856D-DDCBCF35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ionova</cp:lastModifiedBy>
  <cp:revision>4</cp:revision>
  <dcterms:created xsi:type="dcterms:W3CDTF">2019-04-30T14:22:00Z</dcterms:created>
  <dcterms:modified xsi:type="dcterms:W3CDTF">2019-04-30T15:31:00Z</dcterms:modified>
</cp:coreProperties>
</file>