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81"/>
        <w:gridCol w:w="2107"/>
        <w:gridCol w:w="141"/>
        <w:gridCol w:w="284"/>
        <w:gridCol w:w="163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2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2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6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DF6B90">
        <w:trPr>
          <w:trHeight w:hRule="exact" w:val="6406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3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825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 xml:space="preserve">б) Снятие ценных бумаг с депозитарного учета - операция, имеющая целью списание ценных бумаг со счета депо с их одновременным списанием в иной </w:t>
            </w:r>
            <w:r w:rsidR="00194A62">
              <w:rPr>
                <w:rFonts w:ascii="Arial" w:hAnsi="Arial" w:cs="Arial"/>
                <w:sz w:val="18"/>
                <w:szCs w:val="18"/>
              </w:rPr>
              <w:t xml:space="preserve">иностранный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депозитарий (при рыночной стоимости / номинале вывод</w:t>
            </w:r>
            <w:r w:rsidR="00194A62">
              <w:rPr>
                <w:rFonts w:ascii="Arial" w:hAnsi="Arial" w:cs="Arial"/>
                <w:sz w:val="18"/>
                <w:szCs w:val="18"/>
              </w:rPr>
              <w:t xml:space="preserve">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00 тыс. рублей).</w:t>
            </w:r>
          </w:p>
          <w:p w:rsidR="00693825" w:rsidRPr="0034407A" w:rsidRDefault="00693825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825" w:rsidRPr="0034407A" w:rsidRDefault="00693825" w:rsidP="00693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693825" w:rsidRPr="0034407A" w:rsidRDefault="00693825" w:rsidP="00693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34407A" w:rsidP="00693825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0C5DBD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DBD">
              <w:rPr>
                <w:rFonts w:ascii="Arial" w:hAnsi="Arial" w:cs="Arial"/>
                <w:sz w:val="18"/>
                <w:szCs w:val="18"/>
              </w:rPr>
              <w:t>20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="007472FE" w:rsidRPr="0034407A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="007472FE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472FE" w:rsidRPr="0034407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7472FE" w:rsidRPr="0034407A">
              <w:rPr>
                <w:rFonts w:ascii="Arial" w:hAnsi="Arial" w:cs="Arial"/>
                <w:sz w:val="18"/>
                <w:szCs w:val="18"/>
              </w:rPr>
              <w:t xml:space="preserve"> рыночной стоимости указанных в поручении ценных бумаг в рублях по курсу,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</w:t>
            </w:r>
            <w:r w:rsidR="000C5DBD">
              <w:rPr>
                <w:rFonts w:ascii="Arial" w:hAnsi="Arial" w:cs="Arial"/>
                <w:sz w:val="18"/>
                <w:szCs w:val="18"/>
              </w:rPr>
              <w:t>«</w:t>
            </w:r>
            <w:r w:rsidRPr="0034407A">
              <w:rPr>
                <w:rFonts w:ascii="Arial" w:hAnsi="Arial" w:cs="Arial"/>
                <w:sz w:val="18"/>
                <w:szCs w:val="18"/>
              </w:rPr>
              <w:t>СПБ</w:t>
            </w:r>
            <w:r w:rsidR="000C5DBD">
              <w:rPr>
                <w:rFonts w:ascii="Arial" w:hAnsi="Arial" w:cs="Arial"/>
                <w:sz w:val="18"/>
                <w:szCs w:val="18"/>
              </w:rPr>
              <w:t xml:space="preserve"> Биржа»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3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3"/>
          </w:tcPr>
          <w:p w:rsidR="00C072F8" w:rsidRPr="0034407A" w:rsidRDefault="00500353" w:rsidP="00EA2F0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в поручении </w:t>
            </w:r>
          </w:p>
        </w:tc>
      </w:tr>
      <w:tr w:rsidR="006C2993" w:rsidRPr="0034407A" w:rsidTr="00D0261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34407A" w:rsidTr="00D0261D">
        <w:trPr>
          <w:trHeight w:hRule="exact" w:val="8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0,023%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0,02%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0,018%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0,0165%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0,014%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0,012%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0,0105%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0.01%</w:t>
            </w:r>
          </w:p>
        </w:tc>
      </w:tr>
      <w:tr w:rsidR="006C2993" w:rsidRPr="0034407A" w:rsidTr="00D0261D">
        <w:trPr>
          <w:trHeight w:hRule="exact"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ind w:firstLine="21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4407A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095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085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068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028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0.0025%</w:t>
            </w:r>
          </w:p>
        </w:tc>
      </w:tr>
      <w:tr w:rsidR="0034407A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07A" w:rsidRPr="0034407A" w:rsidRDefault="0034407A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07A" w:rsidRPr="0034407A" w:rsidRDefault="0034407A" w:rsidP="0034407A">
            <w:pPr>
              <w:pStyle w:val="a3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07A" w:rsidRPr="0034407A" w:rsidRDefault="0034407A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73243F"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0,056%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0,04%  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0.03%</w:t>
            </w:r>
          </w:p>
        </w:tc>
      </w:tr>
    </w:tbl>
    <w:p w:rsidR="00B52563" w:rsidRPr="0034407A" w:rsidRDefault="00097672" w:rsidP="00B525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243F" w:rsidRPr="0034407A" w:rsidRDefault="0073243F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34407A">
        <w:rPr>
          <w:rFonts w:ascii="Arial" w:hAnsi="Arial" w:cs="Arial"/>
          <w:sz w:val="18"/>
          <w:szCs w:val="18"/>
        </w:rPr>
        <w:t>Тарифы Депозитария, приведенные в настоящем Приложении к Условиям осуществления депозитарной деятельности не распространяются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на услуги по ведению клирингового счета депо и субсчетов депо.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«Бест Эффортс Банк»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733720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733720" w:rsidP="0073372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Инвентарная операция с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НФИ</w:t>
            </w:r>
            <w:r>
              <w:rPr>
                <w:rFonts w:ascii="Arial" w:hAnsi="Arial" w:cs="Arial"/>
                <w:sz w:val="18"/>
                <w:szCs w:val="18"/>
              </w:rPr>
              <w:t>, в том числе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</w:t>
            </w:r>
            <w:r>
              <w:rPr>
                <w:rFonts w:ascii="Arial" w:eastAsia="MS Mincho" w:hAnsi="Arial" w:cs="Arial"/>
                <w:sz w:val="18"/>
                <w:szCs w:val="18"/>
              </w:rPr>
              <w:t>Депозитарии или в иных организациях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, осуществляющих учет прав </w:t>
            </w:r>
            <w:proofErr w:type="gramStart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733720" w:rsidP="00C0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lastRenderedPageBreak/>
        <w:t>Тарифы ПАО «Бест Эффортс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64" w:rsidRDefault="00B02064" w:rsidP="00340D39">
      <w:r>
        <w:separator/>
      </w:r>
    </w:p>
  </w:endnote>
  <w:endnote w:type="continuationSeparator" w:id="0">
    <w:p w:rsidR="00B02064" w:rsidRDefault="00B02064" w:rsidP="0034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64" w:rsidRDefault="00B02064" w:rsidP="00340D39">
      <w:r>
        <w:separator/>
      </w:r>
    </w:p>
  </w:footnote>
  <w:footnote w:type="continuationSeparator" w:id="0">
    <w:p w:rsidR="00B02064" w:rsidRDefault="00B02064" w:rsidP="00340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5E6"/>
    <w:rsid w:val="000437B9"/>
    <w:rsid w:val="000452CB"/>
    <w:rsid w:val="0004754A"/>
    <w:rsid w:val="00052BFB"/>
    <w:rsid w:val="00082EFC"/>
    <w:rsid w:val="00097672"/>
    <w:rsid w:val="000A6477"/>
    <w:rsid w:val="000C5DBD"/>
    <w:rsid w:val="000E51C7"/>
    <w:rsid w:val="00105F8C"/>
    <w:rsid w:val="00143675"/>
    <w:rsid w:val="0016299D"/>
    <w:rsid w:val="0017568D"/>
    <w:rsid w:val="00184D5D"/>
    <w:rsid w:val="00194A62"/>
    <w:rsid w:val="001A47C7"/>
    <w:rsid w:val="001E2FBE"/>
    <w:rsid w:val="001E3C02"/>
    <w:rsid w:val="001E6C7B"/>
    <w:rsid w:val="001F53B6"/>
    <w:rsid w:val="002304B2"/>
    <w:rsid w:val="00252B85"/>
    <w:rsid w:val="00294F45"/>
    <w:rsid w:val="0029685D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5356"/>
    <w:rsid w:val="0036480D"/>
    <w:rsid w:val="003710C6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72C85"/>
    <w:rsid w:val="005749C3"/>
    <w:rsid w:val="00587600"/>
    <w:rsid w:val="005A5380"/>
    <w:rsid w:val="006269A2"/>
    <w:rsid w:val="00642E59"/>
    <w:rsid w:val="0064757A"/>
    <w:rsid w:val="00653C88"/>
    <w:rsid w:val="00656ACC"/>
    <w:rsid w:val="00657C35"/>
    <w:rsid w:val="00660536"/>
    <w:rsid w:val="00681695"/>
    <w:rsid w:val="006820E9"/>
    <w:rsid w:val="00693825"/>
    <w:rsid w:val="006A7CEA"/>
    <w:rsid w:val="006B1D93"/>
    <w:rsid w:val="006B2857"/>
    <w:rsid w:val="006C2993"/>
    <w:rsid w:val="006F00F0"/>
    <w:rsid w:val="0071156F"/>
    <w:rsid w:val="007172BC"/>
    <w:rsid w:val="00725AB6"/>
    <w:rsid w:val="00731B69"/>
    <w:rsid w:val="0073243F"/>
    <w:rsid w:val="00733720"/>
    <w:rsid w:val="00733AB1"/>
    <w:rsid w:val="00740F8E"/>
    <w:rsid w:val="007472FE"/>
    <w:rsid w:val="0076344E"/>
    <w:rsid w:val="007A7D3E"/>
    <w:rsid w:val="007C4FED"/>
    <w:rsid w:val="007F57F9"/>
    <w:rsid w:val="00815A9A"/>
    <w:rsid w:val="00822583"/>
    <w:rsid w:val="008269AA"/>
    <w:rsid w:val="00832719"/>
    <w:rsid w:val="008630E2"/>
    <w:rsid w:val="008B5F93"/>
    <w:rsid w:val="008E2843"/>
    <w:rsid w:val="008F36E7"/>
    <w:rsid w:val="00907A08"/>
    <w:rsid w:val="0092540B"/>
    <w:rsid w:val="009763E6"/>
    <w:rsid w:val="009B53B2"/>
    <w:rsid w:val="009B7A51"/>
    <w:rsid w:val="009C5F01"/>
    <w:rsid w:val="009E79C4"/>
    <w:rsid w:val="009F07A7"/>
    <w:rsid w:val="00A74749"/>
    <w:rsid w:val="00A74D4D"/>
    <w:rsid w:val="00A755E1"/>
    <w:rsid w:val="00AF202C"/>
    <w:rsid w:val="00B02064"/>
    <w:rsid w:val="00B047DA"/>
    <w:rsid w:val="00B1460C"/>
    <w:rsid w:val="00B52563"/>
    <w:rsid w:val="00BA0374"/>
    <w:rsid w:val="00BB233E"/>
    <w:rsid w:val="00BB69A6"/>
    <w:rsid w:val="00BB74ED"/>
    <w:rsid w:val="00BF1642"/>
    <w:rsid w:val="00C01451"/>
    <w:rsid w:val="00C072F8"/>
    <w:rsid w:val="00C653DF"/>
    <w:rsid w:val="00C70E0D"/>
    <w:rsid w:val="00C772E2"/>
    <w:rsid w:val="00C8255A"/>
    <w:rsid w:val="00CA4DBD"/>
    <w:rsid w:val="00CD6BE1"/>
    <w:rsid w:val="00D00BAF"/>
    <w:rsid w:val="00D0261D"/>
    <w:rsid w:val="00D0422E"/>
    <w:rsid w:val="00D206B5"/>
    <w:rsid w:val="00D22D79"/>
    <w:rsid w:val="00D52BD0"/>
    <w:rsid w:val="00D619DD"/>
    <w:rsid w:val="00D772D2"/>
    <w:rsid w:val="00DA7C40"/>
    <w:rsid w:val="00DB1078"/>
    <w:rsid w:val="00DB35E1"/>
    <w:rsid w:val="00DC41C0"/>
    <w:rsid w:val="00DC5056"/>
    <w:rsid w:val="00DD5D1C"/>
    <w:rsid w:val="00DF0FDF"/>
    <w:rsid w:val="00DF6B90"/>
    <w:rsid w:val="00E11CAE"/>
    <w:rsid w:val="00E135E6"/>
    <w:rsid w:val="00E2110E"/>
    <w:rsid w:val="00E303A8"/>
    <w:rsid w:val="00E41FF8"/>
    <w:rsid w:val="00E66002"/>
    <w:rsid w:val="00E7589A"/>
    <w:rsid w:val="00EA2F01"/>
    <w:rsid w:val="00EB7451"/>
    <w:rsid w:val="00EC72F8"/>
    <w:rsid w:val="00ED182A"/>
    <w:rsid w:val="00EE3FE4"/>
    <w:rsid w:val="00F10E7F"/>
    <w:rsid w:val="00F125B3"/>
    <w:rsid w:val="00F154A9"/>
    <w:rsid w:val="00F276F9"/>
    <w:rsid w:val="00F41EB7"/>
    <w:rsid w:val="00F4447B"/>
    <w:rsid w:val="00FC4530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5840-4C3F-4629-97E7-E9F30D1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karpakova</cp:lastModifiedBy>
  <cp:revision>3</cp:revision>
  <dcterms:created xsi:type="dcterms:W3CDTF">2022-03-04T09:54:00Z</dcterms:created>
  <dcterms:modified xsi:type="dcterms:W3CDTF">2022-03-04T09:56:00Z</dcterms:modified>
</cp:coreProperties>
</file>