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440DAF"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="00440DAF" w:rsidRPr="00AB71A9">
        <w:rPr>
          <w:rFonts w:ascii="Arial" w:hAnsi="Arial" w:cs="Arial"/>
          <w:sz w:val="20"/>
          <w:szCs w:val="20"/>
        </w:rPr>
        <w:t xml:space="preserve">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 xml:space="preserve">В целях заполнения анкеты  под 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предоставляются сведения о </w:t>
            </w:r>
            <w:proofErr w:type="spellStart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бенефициарных</w:t>
            </w:r>
            <w:proofErr w:type="spellEnd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d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</w:t>
            </w:r>
            <w:r w:rsidR="00BB4A9A" w:rsidRPr="00554D31">
              <w:rPr>
                <w:rFonts w:ascii="Arial" w:hAnsi="Arial" w:cs="Arial"/>
                <w:sz w:val="20"/>
              </w:rPr>
              <w:lastRenderedPageBreak/>
              <w:t xml:space="preserve">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BB4A9A"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="00BB4A9A"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</w:t>
            </w:r>
            <w:r w:rsidRPr="00554D31">
              <w:rPr>
                <w:rFonts w:ascii="Arial" w:hAnsi="Arial" w:cs="Arial"/>
                <w:sz w:val="20"/>
              </w:rPr>
              <w:lastRenderedPageBreak/>
              <w:t>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копия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proofErr w:type="gramStart"/>
            <w:r w:rsidR="00113ADE" w:rsidRPr="00554D31">
              <w:rPr>
                <w:rFonts w:ascii="Arial" w:hAnsi="Arial" w:cs="Arial"/>
                <w:sz w:val="20"/>
              </w:rPr>
              <w:t>,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Юридические лица, период деятельности которых составляет более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 данные о рейтинге юридического лица, размещенные в сети «Интернет» на сайтах международных рейтинговых агентств («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Standart&amp;Poor`s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Moody`s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Юридические лица, период деятельности которых составляет менее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-сальдовой ведомости по счетам 90, 91 за 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554D31">
              <w:rPr>
                <w:rFonts w:ascii="Arial" w:hAnsi="Arial" w:cs="Arial"/>
                <w:bCs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bCs/>
                <w:sz w:val="20"/>
              </w:rPr>
              <w:t xml:space="preserve">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D74282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«Бе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ст 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. Если </w:t>
            </w:r>
            <w:proofErr w:type="gram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с даты</w:t>
            </w:r>
            <w:proofErr w:type="gram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proofErr w:type="gramStart"/>
            <w:r w:rsidRPr="0083284A">
              <w:rPr>
                <w:rFonts w:ascii="Arial" w:hAnsi="Arial" w:cs="Arial"/>
                <w:sz w:val="20"/>
                <w:szCs w:val="20"/>
              </w:rPr>
              <w:t>с даты составления</w:t>
            </w:r>
            <w:proofErr w:type="gramEnd"/>
            <w:r w:rsidRPr="0083284A">
              <w:rPr>
                <w:rFonts w:ascii="Arial" w:hAnsi="Arial" w:cs="Arial"/>
                <w:sz w:val="20"/>
                <w:szCs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D7428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D74282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A72A9" w:rsidRDefault="003A72A9" w:rsidP="0049235D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</w:t>
      </w:r>
      <w:proofErr w:type="spellStart"/>
      <w:r w:rsidR="00E93251">
        <w:rPr>
          <w:rFonts w:ascii="Arial" w:hAnsi="Arial" w:cs="Arial"/>
          <w:sz w:val="20"/>
        </w:rPr>
        <w:t>междепозитарных</w:t>
      </w:r>
      <w:proofErr w:type="spellEnd"/>
      <w:r w:rsidR="00E93251">
        <w:rPr>
          <w:rFonts w:ascii="Arial" w:hAnsi="Arial" w:cs="Arial"/>
          <w:sz w:val="20"/>
        </w:rPr>
        <w:t xml:space="preserve">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proofErr w:type="spellStart"/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D74282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proofErr w:type="gramStart"/>
            <w:r w:rsidR="000566BB" w:rsidRPr="00554D31">
              <w:rPr>
                <w:rFonts w:ascii="Arial" w:hAnsi="Arial" w:cs="Arial"/>
                <w:sz w:val="20"/>
              </w:rPr>
              <w:t xml:space="preserve"> )</w:t>
            </w:r>
            <w:proofErr w:type="gramEnd"/>
            <w:r w:rsidR="000566BB" w:rsidRPr="00554D31">
              <w:rPr>
                <w:rFonts w:ascii="Arial" w:hAnsi="Arial" w:cs="Arial"/>
                <w:sz w:val="20"/>
              </w:rPr>
              <w:t xml:space="preserve">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В целях указания в Анкете Клиента </w:t>
            </w:r>
            <w:proofErr w:type="spellStart"/>
            <w:r w:rsidRPr="00554D31">
              <w:rPr>
                <w:rFonts w:ascii="Arial" w:hAnsi="Arial" w:cs="Arial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554D3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 xml:space="preserve">»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>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  <w:proofErr w:type="gramEnd"/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</w:t>
            </w:r>
            <w:r w:rsidRPr="00554D31">
              <w:rPr>
                <w:rFonts w:ascii="Arial" w:hAnsi="Arial" w:cs="Arial"/>
              </w:rPr>
              <w:lastRenderedPageBreak/>
              <w:t xml:space="preserve">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более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proofErr w:type="gramStart"/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56599">
              <w:t xml:space="preserve"> </w:t>
            </w:r>
            <w:proofErr w:type="gramStart"/>
            <w:r w:rsidRPr="00356599">
              <w:t>виде</w:t>
            </w:r>
            <w:proofErr w:type="gramEnd"/>
            <w:r w:rsidRPr="00356599">
              <w:t>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356599">
              <w:t>с даты оформления</w:t>
            </w:r>
            <w:proofErr w:type="gramEnd"/>
            <w:r w:rsidRPr="00356599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менее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</w:t>
            </w:r>
            <w:r w:rsidRPr="00356599">
              <w:lastRenderedPageBreak/>
              <w:t>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</w:t>
            </w:r>
            <w:proofErr w:type="gramStart"/>
            <w:r w:rsidRPr="00356599">
              <w:t>с даты</w:t>
            </w:r>
            <w:proofErr w:type="gramEnd"/>
            <w:r w:rsidRPr="00356599">
              <w:t xml:space="preserve">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Standart&amp;Poor’s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Moody’s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</w:t>
            </w:r>
            <w:proofErr w:type="gramEnd"/>
            <w:r w:rsidRPr="00356599">
              <w:rPr>
                <w:rFonts w:ascii="Arial" w:hAnsi="Arial" w:cs="Arial"/>
                <w:sz w:val="20"/>
                <w:szCs w:val="20"/>
              </w:rPr>
              <w:t xml:space="preserve">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proofErr w:type="gramStart"/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="00356599" w:rsidRPr="00554D3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="00356599" w:rsidRPr="00554D3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</w:t>
            </w:r>
            <w:r w:rsidRPr="00356599">
              <w:lastRenderedPageBreak/>
              <w:t>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  <w:szCs w:val="20"/>
              </w:rPr>
              <w:t>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 производства по делу о несостоятельности (банкротстве), вступивших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 xml:space="preserve">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отзывы от других кредитных организаций, в которых  юридическое лицо-нерезидент ранее находилось либо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554D3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Pr="00554D3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554D3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d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D74282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</w:t>
            </w:r>
            <w:r>
              <w:rPr>
                <w:rFonts w:ascii="Arial" w:hAnsi="Arial" w:cs="Arial"/>
                <w:sz w:val="20"/>
                <w:szCs w:val="20"/>
              </w:rPr>
              <w:t>ПАО «Бе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ст 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31"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  <w:proofErr w:type="gramEnd"/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A72A9" w:rsidRDefault="003A72A9" w:rsidP="00286275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286275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Юридическое лицо – нерезидент Российской Федерации, имеющее право в соответствии с личным законом осуществлять депозитарную деятельность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554D31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11454" w:rsidRDefault="00503BC4" w:rsidP="00503BC4">
      <w:pPr>
        <w:pStyle w:val="11"/>
        <w:spacing w:before="100"/>
        <w:ind w:left="-142" w:firstLine="709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proofErr w:type="gramStart"/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</w:rPr>
        <w:t>апостилированы</w:t>
      </w:r>
      <w:proofErr w:type="spellEnd"/>
      <w:r w:rsidRPr="00292965">
        <w:rPr>
          <w:rFonts w:ascii="Arial" w:hAnsi="Arial" w:cs="Arial"/>
        </w:rPr>
        <w:t xml:space="preserve">) в </w:t>
      </w:r>
      <w:r w:rsidRPr="00292965">
        <w:rPr>
          <w:rFonts w:ascii="Arial" w:hAnsi="Arial" w:cs="Arial"/>
        </w:rPr>
        <w:lastRenderedPageBreak/>
        <w:t>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  <w:proofErr w:type="gramEnd"/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 xml:space="preserve">О «Бест </w:t>
      </w:r>
      <w:proofErr w:type="spellStart"/>
      <w:r w:rsidR="000E1FB0">
        <w:rPr>
          <w:rFonts w:ascii="Arial" w:hAnsi="Arial" w:cs="Arial"/>
          <w:sz w:val="20"/>
          <w:szCs w:val="20"/>
        </w:rPr>
        <w:t>Эффортс</w:t>
      </w:r>
      <w:proofErr w:type="spellEnd"/>
      <w:r w:rsidR="000E1FB0">
        <w:rPr>
          <w:rFonts w:ascii="Arial" w:hAnsi="Arial" w:cs="Arial"/>
          <w:sz w:val="20"/>
          <w:szCs w:val="20"/>
        </w:rPr>
        <w:t xml:space="preserve">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Документы, подтверждающие государственную регистрацию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color w:val="000000"/>
                <w:sz w:val="20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554D31">
              <w:rPr>
                <w:rFonts w:ascii="Arial" w:hAnsi="Arial" w:cs="Arial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5663D3" w:rsidRPr="00B26328" w:rsidRDefault="005663D3" w:rsidP="00B26328">
      <w:pPr>
        <w:ind w:firstLine="708"/>
      </w:pPr>
    </w:p>
    <w:sectPr w:rsidR="005663D3" w:rsidRPr="00B26328" w:rsidSect="00CA6AC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3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F5332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7CA5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28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7"/>
  </w:num>
  <w:num w:numId="26">
    <w:abstractNumId w:val="30"/>
  </w:num>
  <w:num w:numId="27">
    <w:abstractNumId w:val="0"/>
  </w:num>
  <w:num w:numId="28">
    <w:abstractNumId w:val="19"/>
  </w:num>
  <w:num w:numId="29">
    <w:abstractNumId w:val="13"/>
  </w:num>
  <w:num w:numId="30">
    <w:abstractNumId w:val="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9D"/>
    <w:rsid w:val="00005D11"/>
    <w:rsid w:val="00011913"/>
    <w:rsid w:val="00035C2D"/>
    <w:rsid w:val="000566BB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64C9B"/>
    <w:rsid w:val="00266429"/>
    <w:rsid w:val="002872A3"/>
    <w:rsid w:val="002A62CF"/>
    <w:rsid w:val="002B47D4"/>
    <w:rsid w:val="002C15BF"/>
    <w:rsid w:val="002D759E"/>
    <w:rsid w:val="002E25E4"/>
    <w:rsid w:val="00305689"/>
    <w:rsid w:val="00313F5D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A72A9"/>
    <w:rsid w:val="003B1A68"/>
    <w:rsid w:val="003F5F0B"/>
    <w:rsid w:val="00401BCD"/>
    <w:rsid w:val="0040721C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5EE9"/>
    <w:rsid w:val="006B0137"/>
    <w:rsid w:val="006B18F7"/>
    <w:rsid w:val="006C338E"/>
    <w:rsid w:val="006C6D98"/>
    <w:rsid w:val="006E662E"/>
    <w:rsid w:val="00745D3B"/>
    <w:rsid w:val="0077405F"/>
    <w:rsid w:val="00797431"/>
    <w:rsid w:val="007B3BD9"/>
    <w:rsid w:val="007C30C0"/>
    <w:rsid w:val="008039F6"/>
    <w:rsid w:val="00805A2D"/>
    <w:rsid w:val="0083284A"/>
    <w:rsid w:val="008378DE"/>
    <w:rsid w:val="00843410"/>
    <w:rsid w:val="008447EC"/>
    <w:rsid w:val="008556B8"/>
    <w:rsid w:val="00887FF0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302B4"/>
    <w:rsid w:val="009C590A"/>
    <w:rsid w:val="009E1463"/>
    <w:rsid w:val="00A16573"/>
    <w:rsid w:val="00A53181"/>
    <w:rsid w:val="00A53B44"/>
    <w:rsid w:val="00A66D67"/>
    <w:rsid w:val="00A928A3"/>
    <w:rsid w:val="00AB71A9"/>
    <w:rsid w:val="00AD2EC9"/>
    <w:rsid w:val="00B26328"/>
    <w:rsid w:val="00B52D51"/>
    <w:rsid w:val="00B6667F"/>
    <w:rsid w:val="00B874E3"/>
    <w:rsid w:val="00BA4999"/>
    <w:rsid w:val="00BB4A9A"/>
    <w:rsid w:val="00BB6FEF"/>
    <w:rsid w:val="00BC43D7"/>
    <w:rsid w:val="00C2462A"/>
    <w:rsid w:val="00C545A4"/>
    <w:rsid w:val="00CA434D"/>
    <w:rsid w:val="00CA6ACB"/>
    <w:rsid w:val="00CB0329"/>
    <w:rsid w:val="00CF51B5"/>
    <w:rsid w:val="00D2490F"/>
    <w:rsid w:val="00D74282"/>
    <w:rsid w:val="00DC0255"/>
    <w:rsid w:val="00DC7717"/>
    <w:rsid w:val="00E07951"/>
    <w:rsid w:val="00E93251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84BF0"/>
    <w:rsid w:val="00FB5B29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"/>
    <w:basedOn w:val="a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c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d">
    <w:name w:val="Hyperlink"/>
    <w:uiPriority w:val="99"/>
    <w:unhideWhenUsed/>
    <w:rsid w:val="0030568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1D3B8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6C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F17B-AF53-4D00-814A-C9D6F6F7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52238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cp:lastModifiedBy>Рыкунов Евгений Сергеевич</cp:lastModifiedBy>
  <cp:revision>7</cp:revision>
  <dcterms:created xsi:type="dcterms:W3CDTF">2017-11-28T10:16:00Z</dcterms:created>
  <dcterms:modified xsi:type="dcterms:W3CDTF">2018-11-02T15:26:00Z</dcterms:modified>
</cp:coreProperties>
</file>