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963AC8" w:rsidRDefault="00C77D17">
      <w:pPr>
        <w:jc w:val="right"/>
      </w:pPr>
      <w:r w:rsidRPr="00963AC8">
        <w:rPr>
          <w:rFonts w:ascii="Arial" w:hAnsi="Arial" w:cs="Arial"/>
          <w:i/>
        </w:rPr>
        <w:t>Приложение № 3</w:t>
      </w:r>
    </w:p>
    <w:p w:rsidR="00D87BD4" w:rsidRPr="00963AC8" w:rsidRDefault="00C77D17">
      <w:pPr>
        <w:jc w:val="right"/>
      </w:pPr>
      <w:r w:rsidRPr="00963AC8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963AC8" w:rsidRDefault="00C77D17">
      <w:pPr>
        <w:pStyle w:val="15"/>
        <w:jc w:val="right"/>
      </w:pPr>
      <w:r w:rsidRPr="00963AC8">
        <w:rPr>
          <w:b w:val="0"/>
          <w:i/>
          <w:sz w:val="20"/>
          <w:szCs w:val="20"/>
        </w:rPr>
        <w:t>ПАО «Бест Эффортс Банк»</w:t>
      </w:r>
    </w:p>
    <w:p w:rsidR="00D87BD4" w:rsidRPr="00963AC8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Тарифы</w:t>
      </w: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на обслуживание на финансовых рынках</w:t>
      </w:r>
    </w:p>
    <w:p w:rsidR="00D87BD4" w:rsidRPr="00963AC8" w:rsidRDefault="00C77D17" w:rsidP="00C504CD">
      <w:pPr>
        <w:jc w:val="center"/>
        <w:rPr>
          <w:rFonts w:ascii="Arial" w:hAnsi="Arial" w:cs="Arial"/>
          <w:b/>
        </w:rPr>
      </w:pPr>
      <w:r w:rsidRPr="00963AC8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963AC8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147576" w:rsidRPr="00963AC8" w:rsidRDefault="00052FC3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63AC8">
            <w:fldChar w:fldCharType="begin"/>
          </w:r>
          <w:r w:rsidR="00A70C9D" w:rsidRPr="00963AC8">
            <w:instrText xml:space="preserve"> TOC \o "1-3" \h \z \u </w:instrText>
          </w:r>
          <w:r w:rsidRPr="00963AC8">
            <w:fldChar w:fldCharType="separate"/>
          </w:r>
          <w:hyperlink w:anchor="_Toc6395660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ПАО Московская биржа**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_Toc63956606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2016»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_Toc63956607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Фиксированный»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_Toc63956608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_Toc63956609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«Зарубежный»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_Toc63956610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4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Валютный рынок***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_Toc63956611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2016»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_Toc63956612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ВИП»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_Toc63956613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6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рынок**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_Toc63956614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2016»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_Toc63956615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экономный»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_Toc63956616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12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_Toc63956617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«Фондовый зарубежный»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_Toc63956618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Внебиржевой рынок**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_Toc63956619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«Первый Внебиржевой»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_Toc63956620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6.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Технологические сервисы: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_Toc63956621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19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Дополнительные условия: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_Toc63956622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Минимальный размер комиссии за оказание услуг на финансовых рынках, взимаемой с Клиента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_Toc63956623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хранение денежных средств в иностранной валюте на инвестиционных счетах Клиента: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_Toc63956624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вывод денежных средств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_Toc63956625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предоставление отчетов на бумажных носителях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_Toc63956626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594C3D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клиента и </w:t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третьих лиц (в т.ч. по запросу аудиторских компаний)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_Toc63956627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24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052FC3" w:rsidP="00147576">
          <w:r w:rsidRPr="00963AC8">
            <w:fldChar w:fldCharType="end"/>
          </w:r>
        </w:p>
      </w:sdtContent>
    </w:sdt>
    <w:p w:rsidR="00B00F63" w:rsidRPr="00963AC8" w:rsidRDefault="00B00F63" w:rsidP="00147576"/>
    <w:p w:rsidR="00A70C9D" w:rsidRPr="00963AC8" w:rsidRDefault="00A70C9D">
      <w:pPr>
        <w:suppressAutoHyphens w:val="0"/>
        <w:rPr>
          <w:rFonts w:ascii="Arial" w:hAnsi="Arial" w:cs="Arial"/>
          <w:b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63AC8">
        <w:rPr>
          <w:rFonts w:ascii="Arial" w:hAnsi="Arial" w:cs="Arial"/>
          <w:b/>
          <w:i/>
        </w:rPr>
        <w:t>Срочный рынок ПАО Московская биржа</w:t>
      </w:r>
      <w:r w:rsidR="0094372B" w:rsidRPr="00963AC8">
        <w:rPr>
          <w:rFonts w:ascii="Arial" w:hAnsi="Arial" w:cs="Arial"/>
          <w:b/>
          <w:i/>
        </w:rPr>
        <w:t>**</w:t>
      </w:r>
      <w:bookmarkEnd w:id="15"/>
      <w:r w:rsidRPr="00963AC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63956607"/>
      <w:r w:rsidRPr="00963AC8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jc w:val="both"/>
        <w:rPr>
          <w:rFonts w:ascii="Arial" w:hAnsi="Arial" w:cs="Arial"/>
          <w:i/>
        </w:rPr>
      </w:pPr>
    </w:p>
    <w:p w:rsidR="00D87BD4" w:rsidRPr="00963AC8" w:rsidRDefault="00C77D17">
      <w:pPr>
        <w:spacing w:after="200" w:line="276" w:lineRule="auto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63AC8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8"/>
      <w:r w:rsidRPr="00963AC8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63AC8" w:rsidRDefault="00A70C9D">
      <w:pPr>
        <w:pStyle w:val="-11"/>
        <w:ind w:firstLine="0"/>
        <w:jc w:val="both"/>
      </w:pPr>
    </w:p>
    <w:p w:rsidR="00D87BD4" w:rsidRPr="00963AC8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639566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63AC8">
        <w:rPr>
          <w:rFonts w:ascii="Arial" w:hAnsi="Arial" w:cs="Arial"/>
          <w:b/>
          <w:i/>
        </w:rPr>
        <w:lastRenderedPageBreak/>
        <w:t>Срочный рынок иностранных государств</w:t>
      </w:r>
      <w:bookmarkEnd w:id="31"/>
    </w:p>
    <w:p w:rsidR="00D87BD4" w:rsidRPr="00963AC8" w:rsidRDefault="00D87BD4">
      <w:pPr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63956610"/>
      <w:r w:rsidRPr="00963AC8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963AC8" w:rsidRPr="00963AC8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 w:rsidP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63AC8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63AC8">
        <w:rPr>
          <w:rFonts w:ascii="Arial" w:hAnsi="Arial" w:cs="Arial"/>
        </w:rPr>
        <w:t>сборы</w:t>
      </w:r>
      <w:proofErr w:type="gramEnd"/>
      <w:r w:rsidRPr="00963AC8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63AC8">
        <w:rPr>
          <w:rFonts w:ascii="Arial" w:hAnsi="Arial" w:cs="Arial"/>
        </w:rPr>
        <w:t xml:space="preserve">. </w:t>
      </w:r>
    </w:p>
    <w:p w:rsidR="00B2673C" w:rsidRPr="00963AC8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</w:rPr>
      </w:pPr>
      <w:r w:rsidRPr="00963AC8">
        <w:rPr>
          <w:rFonts w:ascii="Arial" w:hAnsi="Arial" w:cs="Arial"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63956611"/>
      <w:bookmarkEnd w:id="33"/>
      <w:bookmarkEnd w:id="34"/>
      <w:bookmarkEnd w:id="35"/>
      <w:bookmarkEnd w:id="36"/>
      <w:bookmarkEnd w:id="37"/>
      <w:bookmarkEnd w:id="38"/>
      <w:r w:rsidRPr="00963AC8">
        <w:rPr>
          <w:rFonts w:ascii="Arial" w:hAnsi="Arial" w:cs="Arial"/>
          <w:b/>
          <w:i/>
        </w:rPr>
        <w:lastRenderedPageBreak/>
        <w:t>Валютный рынок</w:t>
      </w:r>
      <w:r w:rsidR="00956CF0" w:rsidRPr="00963AC8">
        <w:rPr>
          <w:rFonts w:ascii="Arial" w:hAnsi="Arial" w:cs="Arial"/>
          <w:b/>
          <w:i/>
        </w:rPr>
        <w:t>***</w:t>
      </w:r>
      <w:bookmarkEnd w:id="39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63956612"/>
      <w:r w:rsidRPr="00963AC8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>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 xml:space="preserve">в интересах и за счет Клиента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0,008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0,004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0,001</w:t>
            </w:r>
            <w:r w:rsidR="007457A0" w:rsidRPr="00963AC8">
              <w:rPr>
                <w:rFonts w:ascii="Arial" w:hAnsi="Arial" w:cs="Arial"/>
              </w:rPr>
              <w:t>2</w:t>
            </w:r>
          </w:p>
        </w:tc>
      </w:tr>
      <w:tr w:rsidR="001B796D" w:rsidRPr="00963AC8" w:rsidTr="00F0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</w:tcPr>
          <w:p w:rsidR="001B796D" w:rsidRPr="00963AC8" w:rsidRDefault="001B796D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>ка за заключение</w:t>
            </w:r>
            <w:r w:rsidR="001C6AC0"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 (кроме Договоров своп)</w:t>
            </w:r>
          </w:p>
        </w:tc>
        <w:tc>
          <w:tcPr>
            <w:tcW w:w="7098" w:type="dxa"/>
          </w:tcPr>
          <w:p w:rsidR="001B796D" w:rsidRPr="00963AC8" w:rsidRDefault="001C6AC0" w:rsidP="001C6AC0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(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от суммы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Договора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,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в разрезе каждого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поручения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Клиента)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1C6AC0" w:rsidRPr="00963AC8" w:rsidRDefault="00C77D17" w:rsidP="001C6AC0">
      <w:pPr>
        <w:pStyle w:val="-11"/>
        <w:numPr>
          <w:ilvl w:val="0"/>
          <w:numId w:val="4"/>
        </w:numPr>
        <w:tabs>
          <w:tab w:val="left" w:pos="709"/>
        </w:tabs>
        <w:ind w:left="709" w:firstLine="0"/>
        <w:jc w:val="both"/>
      </w:pPr>
      <w:r w:rsidRPr="00963AC8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Валютном рынке взимается</w:t>
      </w:r>
      <w:r w:rsidR="001C6AC0" w:rsidRPr="00963AC8">
        <w:rPr>
          <w:rFonts w:ascii="Arial" w:hAnsi="Arial" w:cs="Arial"/>
        </w:rPr>
        <w:t xml:space="preserve"> в российских рублях</w:t>
      </w:r>
      <w:r w:rsidRPr="00963AC8">
        <w:rPr>
          <w:rFonts w:ascii="Arial" w:hAnsi="Arial" w:cs="Arial"/>
        </w:rPr>
        <w:t xml:space="preserve"> каждый Торговый день по всем Договорам, заключённым Банком  в течение указанного Торгового дня</w:t>
      </w:r>
      <w:r w:rsidR="001C6AC0" w:rsidRPr="00963AC8">
        <w:rPr>
          <w:rFonts w:ascii="Arial" w:hAnsi="Arial" w:cs="Arial"/>
        </w:rPr>
        <w:t xml:space="preserve">. При необходимости Банком осуществляется конвертация валюты по курсу, </w:t>
      </w:r>
      <w:proofErr w:type="gramStart"/>
      <w:r w:rsidR="001C6AC0" w:rsidRPr="00963AC8">
        <w:rPr>
          <w:rFonts w:ascii="Arial" w:hAnsi="Arial" w:cs="Arial"/>
        </w:rPr>
        <w:t>определяемом</w:t>
      </w:r>
      <w:proofErr w:type="gramEnd"/>
      <w:r w:rsidR="001C6AC0"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 xml:space="preserve">100 </w:t>
      </w:r>
      <w:r w:rsidRPr="00963AC8">
        <w:rPr>
          <w:rFonts w:ascii="Arial" w:hAnsi="Arial" w:cs="Arial"/>
        </w:rPr>
        <w:t>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Минимальная ставка вознаграждения </w:t>
      </w:r>
      <w:r w:rsidR="001C6AC0" w:rsidRPr="00963AC8">
        <w:rPr>
          <w:rFonts w:ascii="Arial" w:hAnsi="Arial" w:cs="Arial"/>
        </w:rPr>
        <w:t xml:space="preserve">по Договорам своп </w:t>
      </w:r>
      <w:r w:rsidRPr="00963AC8">
        <w:rPr>
          <w:rFonts w:ascii="Arial" w:hAnsi="Arial" w:cs="Arial"/>
        </w:rPr>
        <w:t>составляет не менее 2 (Двух) рублей за каждый заключённый Договор.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C77D17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1C6AC0" w:rsidRPr="00963AC8">
        <w:rPr>
          <w:rFonts w:ascii="Arial" w:hAnsi="Arial" w:cs="Arial"/>
        </w:rPr>
        <w:t xml:space="preserve"> Вознаграждение Банка взимается по Договорам своп в режиме внесистемных сделок (в целях переноса позиций </w:t>
      </w:r>
      <w:proofErr w:type="spellStart"/>
      <w:r w:rsidR="001C6AC0" w:rsidRPr="00963AC8">
        <w:rPr>
          <w:rFonts w:ascii="Arial" w:hAnsi="Arial" w:cs="Arial"/>
        </w:rPr>
        <w:t>Субклиентов</w:t>
      </w:r>
      <w:proofErr w:type="spellEnd"/>
      <w:r w:rsidR="001C6AC0" w:rsidRPr="00963AC8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1C6AC0" w:rsidRPr="00963AC8" w:rsidRDefault="001C6AC0">
      <w:pPr>
        <w:ind w:left="360"/>
        <w:jc w:val="both"/>
        <w:rPr>
          <w:rFonts w:ascii="Arial" w:hAnsi="Arial" w:cs="Arial"/>
        </w:rPr>
      </w:pPr>
    </w:p>
    <w:p w:rsidR="00D87BD4" w:rsidRPr="00963AC8" w:rsidRDefault="001C6AC0" w:rsidP="001C6AC0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63956613"/>
      <w:bookmarkEnd w:id="41"/>
      <w:bookmarkEnd w:id="42"/>
      <w:bookmarkEnd w:id="43"/>
      <w:bookmarkEnd w:id="44"/>
      <w:bookmarkEnd w:id="45"/>
      <w:bookmarkEnd w:id="46"/>
      <w:r w:rsidRPr="00963AC8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1C6AC0" w:rsidRPr="00963AC8" w:rsidRDefault="001C6AC0" w:rsidP="001C6AC0">
      <w:pPr>
        <w:pStyle w:val="af3"/>
        <w:ind w:left="36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</w:t>
      </w:r>
    </w:p>
    <w:p w:rsidR="001C6AC0" w:rsidRPr="00963AC8" w:rsidRDefault="001C6AC0" w:rsidP="001C6AC0">
      <w:pPr>
        <w:pStyle w:val="af3"/>
        <w:ind w:left="360"/>
      </w:pPr>
      <w:r w:rsidRPr="00963AC8">
        <w:rPr>
          <w:rFonts w:ascii="Arial" w:hAnsi="Arial" w:cs="Arial"/>
          <w:b/>
          <w:i/>
        </w:rPr>
        <w:t xml:space="preserve">             Постоянная часть вознаграждения</w:t>
      </w:r>
      <w:r w:rsidRPr="00963AC8">
        <w:rPr>
          <w:rFonts w:ascii="Arial" w:hAnsi="Arial" w:cs="Arial"/>
        </w:rPr>
        <w:t>: 150 000 (Сто пятьдесят тысяч) рублей в месяц.</w:t>
      </w:r>
    </w:p>
    <w:p w:rsidR="001C6AC0" w:rsidRPr="00963AC8" w:rsidRDefault="001C6AC0" w:rsidP="001C6AC0">
      <w:pPr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     </w:t>
      </w:r>
    </w:p>
    <w:p w:rsidR="001C6AC0" w:rsidRPr="00963AC8" w:rsidRDefault="001C6AC0" w:rsidP="001C6AC0">
      <w:r w:rsidRPr="00963AC8">
        <w:rPr>
          <w:rFonts w:ascii="Arial" w:hAnsi="Arial" w:cs="Arial"/>
          <w:b/>
          <w:i/>
        </w:rPr>
        <w:t xml:space="preserve">                   Переменная часть вознаграждения:</w:t>
      </w:r>
    </w:p>
    <w:p w:rsidR="001C6AC0" w:rsidRPr="00963AC8" w:rsidRDefault="001C6AC0" w:rsidP="001C6AC0">
      <w:pPr>
        <w:pStyle w:val="-11"/>
        <w:tabs>
          <w:tab w:val="left" w:pos="1134"/>
        </w:tabs>
        <w:ind w:left="709" w:firstLine="0"/>
        <w:jc w:val="both"/>
        <w:outlineLvl w:val="1"/>
      </w:pP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63AC8">
              <w:rPr>
                <w:rFonts w:ascii="Arial" w:hAnsi="Arial" w:cs="Arial"/>
                <w:b/>
                <w:lang w:val="en-US"/>
              </w:rPr>
              <w:t>TOD</w:t>
            </w:r>
            <w:r w:rsidRPr="00963AC8">
              <w:rPr>
                <w:rFonts w:ascii="Arial" w:hAnsi="Arial" w:cs="Arial"/>
                <w:b/>
              </w:rPr>
              <w:t xml:space="preserve">, </w:t>
            </w:r>
            <w:r w:rsidRPr="00963AC8">
              <w:rPr>
                <w:rFonts w:ascii="Arial" w:hAnsi="Arial" w:cs="Arial"/>
                <w:b/>
                <w:lang w:val="en-US"/>
              </w:rPr>
              <w:t>TOM</w:t>
            </w:r>
            <w:r w:rsidRPr="00963AC8">
              <w:rPr>
                <w:rFonts w:ascii="Arial" w:hAnsi="Arial" w:cs="Arial"/>
                <w:b/>
              </w:rPr>
              <w:t>)*, ежедневная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до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от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963AC8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1C6AC0" w:rsidRPr="00963AC8" w:rsidRDefault="001C6AC0" w:rsidP="004D207B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AC0" w:rsidRPr="00963AC8" w:rsidRDefault="001C6AC0" w:rsidP="004D207B">
            <w:pPr>
              <w:jc w:val="center"/>
            </w:pPr>
            <w:r w:rsidRPr="00963AC8">
              <w:rPr>
                <w:rFonts w:ascii="Arial" w:hAnsi="Arial" w:cs="Arial"/>
              </w:rPr>
              <w:lastRenderedPageBreak/>
              <w:t>0</w:t>
            </w:r>
            <w:r w:rsidRPr="00963AC8">
              <w:rPr>
                <w:rFonts w:ascii="Arial" w:hAnsi="Arial" w:cs="Arial"/>
                <w:lang w:val="en-US"/>
              </w:rPr>
              <w:t>,000</w:t>
            </w:r>
            <w:r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  <w:lang w:val="en-US"/>
              </w:rPr>
              <w:t>5</w:t>
            </w:r>
          </w:p>
        </w:tc>
      </w:tr>
      <w:tr w:rsidR="001C6AC0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lastRenderedPageBreak/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(кроме Договоров своп)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 (от суммы Договора, в разрезе каждого поручения Клиента)</w:t>
            </w: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1C6AC0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1C6AC0" w:rsidRPr="00963AC8" w:rsidRDefault="001C6AC0" w:rsidP="005B2995">
      <w:pPr>
        <w:pStyle w:val="-11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</w:pPr>
      <w:r w:rsidRPr="00963AC8">
        <w:rPr>
          <w:rFonts w:ascii="Arial" w:hAnsi="Arial" w:cs="Arial"/>
        </w:rPr>
        <w:t xml:space="preserve">Переменная часть Вознаграждения Банка за заключение в интересах и за счет Клиента Договоров на Валютном рынке взимается в российских рублях каждый Торговый день по всем Договорам, заключённым Банком  в течение указанного Торгового дня. При необходимости Банком осуществляется конвертация валюты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Комиссии и сборы, </w:t>
      </w:r>
      <w:r w:rsidR="00E844AF" w:rsidRPr="00963AC8">
        <w:rPr>
          <w:rFonts w:ascii="Arial" w:hAnsi="Arial" w:cs="Arial"/>
        </w:rPr>
        <w:t>взимаемые</w:t>
      </w:r>
      <w:r w:rsidRPr="00963AC8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63AC8">
        <w:rPr>
          <w:rFonts w:ascii="Arial" w:hAnsi="Arial" w:cs="Arial"/>
        </w:rPr>
        <w:t>взимаемого</w:t>
      </w:r>
      <w:r w:rsidRPr="00963AC8">
        <w:rPr>
          <w:rFonts w:ascii="Arial" w:hAnsi="Arial" w:cs="Arial"/>
        </w:rPr>
        <w:t xml:space="preserve"> ПАО «Московская Биржа»;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>100</w:t>
      </w:r>
      <w:r w:rsidRPr="00963AC8">
        <w:rPr>
          <w:rFonts w:ascii="Arial" w:hAnsi="Arial" w:cs="Arial"/>
        </w:rPr>
        <w:t xml:space="preserve"> 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Минимальная ставка вознаграждения</w:t>
      </w:r>
      <w:r w:rsidR="001C6AC0" w:rsidRPr="00963AC8">
        <w:rPr>
          <w:rFonts w:ascii="Arial" w:hAnsi="Arial" w:cs="Arial"/>
        </w:rPr>
        <w:t xml:space="preserve"> по Договорам своп</w:t>
      </w:r>
      <w:r w:rsidRPr="00963AC8">
        <w:rPr>
          <w:rFonts w:ascii="Arial" w:hAnsi="Arial" w:cs="Arial"/>
        </w:rPr>
        <w:t xml:space="preserve"> составляет не менее 2 (Двух) рублей за каждый заключенный Договор.</w:t>
      </w:r>
    </w:p>
    <w:p w:rsidR="00D87BD4" w:rsidRPr="00963AC8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1C6AC0" w:rsidRPr="00963AC8" w:rsidRDefault="001C6AC0" w:rsidP="001C6AC0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Вознаграждение Банка взимается по Договорам своп в режиме внесистемных сделок (в целях переноса позиций </w:t>
      </w:r>
      <w:proofErr w:type="spellStart"/>
      <w:r w:rsidRPr="00963AC8">
        <w:rPr>
          <w:rFonts w:ascii="Arial" w:hAnsi="Arial" w:cs="Arial"/>
        </w:rPr>
        <w:t>Субклиентов</w:t>
      </w:r>
      <w:proofErr w:type="spellEnd"/>
      <w:r w:rsidRPr="00963AC8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63956614"/>
      <w:r w:rsidRPr="00963AC8">
        <w:rPr>
          <w:rFonts w:ascii="Arial" w:hAnsi="Arial" w:cs="Arial"/>
          <w:b/>
          <w:i/>
        </w:rPr>
        <w:t>Фондовый рынок</w:t>
      </w:r>
      <w:r w:rsidR="00956CF0" w:rsidRPr="00963AC8">
        <w:rPr>
          <w:rFonts w:ascii="Arial" w:hAnsi="Arial" w:cs="Arial"/>
          <w:b/>
          <w:i/>
        </w:rPr>
        <w:t>**</w:t>
      </w:r>
      <w:bookmarkEnd w:id="48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63AC8">
        <w:rPr>
          <w:rFonts w:ascii="Arial" w:eastAsia="Arial" w:hAnsi="Arial" w:cs="Arial"/>
          <w:b/>
          <w:i/>
        </w:rPr>
        <w:t xml:space="preserve"> </w:t>
      </w:r>
      <w:bookmarkStart w:id="49" w:name="_Toc63956615"/>
      <w:r w:rsidRPr="00963AC8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</w:t>
      </w:r>
      <w:r w:rsidR="00F00D1F" w:rsidRPr="00963AC8">
        <w:rPr>
          <w:rFonts w:ascii="Arial" w:hAnsi="Arial" w:cs="Arial"/>
          <w:b/>
        </w:rPr>
        <w:t>СПБ Б</w:t>
      </w:r>
      <w:r w:rsidRPr="00963AC8">
        <w:rPr>
          <w:rFonts w:ascii="Arial" w:hAnsi="Arial" w:cs="Arial"/>
          <w:b/>
        </w:rPr>
        <w:t>иржа» организованных торгах ценными бумагами:</w:t>
      </w:r>
      <w:proofErr w:type="gramEnd"/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0,03%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E844AF" w:rsidP="00B17345"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1531FC" w:rsidP="00F00D1F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на ПАО «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СПБ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>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0,001</w:t>
            </w:r>
            <w:r w:rsidR="006C77F5" w:rsidRPr="00963AC8">
              <w:rPr>
                <w:rFonts w:ascii="Arial" w:hAnsi="Arial" w:cs="Arial"/>
              </w:rPr>
              <w:t>06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 </w:t>
            </w:r>
            <w:r w:rsidR="009202BB" w:rsidRPr="00963AC8">
              <w:rPr>
                <w:rFonts w:ascii="Arial" w:hAnsi="Arial" w:cs="Arial"/>
              </w:rPr>
              <w:t xml:space="preserve">умноженной </w:t>
            </w:r>
            <w:r w:rsidRPr="00963AC8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но не менее 4 руб.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F00D1F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«</w:t>
            </w:r>
            <w:r w:rsidR="00F00D1F" w:rsidRPr="00963AC8">
              <w:rPr>
                <w:rFonts w:ascii="Arial" w:hAnsi="Arial" w:cs="Arial"/>
              </w:rPr>
              <w:t>СПБ</w:t>
            </w:r>
            <w:r w:rsidRPr="00963AC8">
              <w:rPr>
                <w:rFonts w:ascii="Arial" w:hAnsi="Arial" w:cs="Arial"/>
              </w:rPr>
              <w:t xml:space="preserve"> </w:t>
            </w:r>
            <w:r w:rsidR="00F00D1F" w:rsidRPr="00963AC8">
              <w:rPr>
                <w:rFonts w:ascii="Arial" w:hAnsi="Arial" w:cs="Arial"/>
              </w:rPr>
              <w:t>Биржа</w:t>
            </w:r>
            <w:r w:rsidRPr="00963AC8">
              <w:rPr>
                <w:rFonts w:ascii="Arial" w:hAnsi="Arial" w:cs="Arial"/>
              </w:rPr>
              <w:t xml:space="preserve">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 w:rsidP="008C4EA1">
            <w:pPr>
              <w:jc w:val="both"/>
            </w:pPr>
            <w:r w:rsidRPr="00963AC8">
              <w:rPr>
                <w:rFonts w:ascii="Arial" w:hAnsi="Arial" w:cs="Arial"/>
              </w:rPr>
              <w:t>0,</w:t>
            </w:r>
            <w:r w:rsidR="008C4EA1" w:rsidRPr="00963AC8">
              <w:rPr>
                <w:rFonts w:ascii="Arial" w:hAnsi="Arial" w:cs="Arial"/>
              </w:rPr>
              <w:t>000</w:t>
            </w:r>
            <w:r w:rsidR="00863307"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</w:t>
      </w:r>
      <w:r w:rsidR="00F00D1F" w:rsidRPr="00963AC8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</w:t>
      </w:r>
      <w:r w:rsidR="00F00D1F" w:rsidRPr="00963AC8">
        <w:rPr>
          <w:rFonts w:ascii="Arial" w:hAnsi="Arial" w:cs="Arial"/>
          <w:b/>
        </w:rPr>
        <w:t>Б</w:t>
      </w:r>
      <w:r w:rsidRPr="00963AC8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63AC8">
        <w:rPr>
          <w:rFonts w:ascii="Arial" w:hAnsi="Arial" w:cs="Arial"/>
          <w:b/>
        </w:rPr>
        <w:t>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24098C" w:rsidRPr="00963AC8" w:rsidRDefault="0024098C" w:rsidP="00172B15">
            <w:pPr>
              <w:pStyle w:val="-11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6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6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E71F31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63AC8">
              <w:rPr>
                <w:rFonts w:ascii="Arial" w:hAnsi="Arial" w:cs="Arial"/>
              </w:rPr>
              <w:t xml:space="preserve">облигации, включая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0,015%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63AC8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63AC8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 xml:space="preserve">Договоры </w:t>
      </w:r>
      <w:proofErr w:type="spellStart"/>
      <w:r w:rsidRPr="00963AC8">
        <w:rPr>
          <w:rFonts w:ascii="Arial" w:hAnsi="Arial" w:cs="Arial"/>
          <w:b/>
        </w:rPr>
        <w:t>репо</w:t>
      </w:r>
      <w:proofErr w:type="spellEnd"/>
      <w:r w:rsidRPr="00963AC8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68981762" wp14:editId="2DC5E8F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1C860CF7" wp14:editId="5DAC2809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088C5F9" wp14:editId="0A1FC018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7F191C00" wp14:editId="0154308D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63AC8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spacing w:after="200" w:line="276" w:lineRule="auto"/>
      </w:pPr>
      <w:r w:rsidRPr="00963AC8">
        <w:rPr>
          <w:rFonts w:ascii="Arial" w:hAnsi="Arial" w:cs="Arial"/>
        </w:rPr>
        <w:tab/>
        <w:t xml:space="preserve">, </w:t>
      </w:r>
      <w:r w:rsidRPr="00963AC8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15D75124" wp14:editId="0050833D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2BC759C5" wp14:editId="19CBA8E8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63AC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63AC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51B9DB1" wp14:editId="7F7D637B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63AC8">
              <w:rPr>
                <w:rFonts w:ascii="Arial" w:hAnsi="Arial" w:cs="Arial"/>
              </w:rPr>
              <w:t xml:space="preserve">ии </w:t>
            </w:r>
            <w:r w:rsidRPr="00963AC8">
              <w:rPr>
                <w:rFonts w:ascii="Arial" w:hAnsi="Arial" w:cs="Arial"/>
              </w:rPr>
              <w:t>АО</w:t>
            </w:r>
            <w:proofErr w:type="gramEnd"/>
            <w:r w:rsidRPr="00963AC8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085E5585" wp14:editId="26037382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 w:rsidP="00C504CD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6512D3">
            <w:pPr>
              <w:jc w:val="both"/>
            </w:pPr>
            <w:r w:rsidRPr="00963AC8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6D7311CC" wp14:editId="727EBB9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6512D3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63AC8" w:rsidRDefault="006512D3" w:rsidP="006512D3">
            <w:pPr>
              <w:jc w:val="both"/>
            </w:pPr>
            <w:r w:rsidRPr="00963AC8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63AC8">
              <w:rPr>
                <w:rFonts w:ascii="Arial" w:hAnsi="Arial" w:cs="Arial"/>
              </w:rPr>
              <w:t>риск-параметров</w:t>
            </w:r>
            <w:proofErr w:type="gramEnd"/>
            <w:r w:rsidRPr="00963AC8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02EE7848" wp14:editId="1189041A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506F17CA" wp14:editId="50F06FA8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2F8609D" wp14:editId="7D9F460A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624EFA1F" wp14:editId="0ADE6748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63AC8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1C6AC0" w:rsidRPr="00963AC8" w:rsidRDefault="001C6AC0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штрафов, взимаемых НКО-ЦК «Клиринговый центр МФБ» (АО)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обработку поручений на внесение/списание/ перевод ценных бумаг на/c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депо.</w:t>
      </w:r>
    </w:p>
    <w:p w:rsidR="005B2995" w:rsidRPr="00963AC8" w:rsidRDefault="005B2995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обработку поручений на перевод ценных бумаг на/c разделов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 внутри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депо.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Списание с Субсчета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Pr="00963AC8">
        <w:rPr>
          <w:rFonts w:ascii="Arial" w:hAnsi="Arial" w:cs="Arial"/>
        </w:rPr>
        <w:t xml:space="preserve"> счета депо зачисления указывается не Субсчет депо</w:t>
      </w:r>
      <w:r w:rsidR="005B2995" w:rsidRPr="00963AC8">
        <w:rPr>
          <w:rFonts w:ascii="Arial" w:hAnsi="Arial" w:cs="Arial"/>
        </w:rPr>
        <w:t xml:space="preserve"> согласно Тарифам за оказание клиринговых услуг и иных связанных с ними услуг при осуществлении НКО-ЦК «Клиринговый центр МФБ» (АО) клиринговой деятельности на рынке ценных бумаг (https://mse.ru/ru/tariffs/tariffs_klirusl_rcenbum/)</w:t>
      </w:r>
      <w:r w:rsidRPr="00963AC8">
        <w:rPr>
          <w:rFonts w:ascii="Arial" w:hAnsi="Arial" w:cs="Arial"/>
        </w:rPr>
        <w:t>.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комиссий за депозитарное обслуживание, а также комиссий связанных с отражением корпоративных событий, взимаемых НКО-ЦК «Клиринговый центр МФБ» (АО)</w:t>
      </w:r>
    </w:p>
    <w:p w:rsidR="001C6AC0" w:rsidRPr="00C7684C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C7684C" w:rsidRDefault="00C7684C" w:rsidP="00C7684C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транзакционных налогов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963AC8">
        <w:rPr>
          <w:rFonts w:ascii="Arial" w:hAnsi="Arial" w:cs="Arial"/>
        </w:rPr>
        <w:t>«СПБ Биржа»</w:t>
      </w:r>
      <w:r w:rsidRPr="00963AC8"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t xml:space="preserve">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</w:pPr>
      <w:r w:rsidRPr="00963AC8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63956616"/>
      <w:r w:rsidRPr="00963AC8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Pr="00963AC8">
        <w:rPr>
          <w:rFonts w:ascii="Arial" w:hAnsi="Arial" w:cs="Arial"/>
        </w:rPr>
        <w:t>50 000 (Пятьдесят тысяч) рублей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D87BD4" w:rsidRPr="00963AC8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63AC8" w:rsidRDefault="00C77D17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Договоры  купли-продажи</w:t>
            </w:r>
            <w:r w:rsidR="008A2611" w:rsidRPr="00963AC8">
              <w:rPr>
                <w:rFonts w:ascii="Arial" w:hAnsi="Arial" w:cs="Arial"/>
              </w:rPr>
              <w:t xml:space="preserve"> </w:t>
            </w:r>
          </w:p>
          <w:p w:rsidR="00D87BD4" w:rsidRPr="00963AC8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E71F31">
            <w:r w:rsidRPr="00963AC8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63AC8">
              <w:rPr>
                <w:rFonts w:ascii="Arial" w:hAnsi="Arial" w:cs="Arial"/>
              </w:rPr>
              <w:t xml:space="preserve">, 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963AC8" w:rsidRPr="00963AC8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985195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на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r w:rsidRPr="00963AC8">
              <w:rPr>
                <w:rFonts w:ascii="Arial" w:hAnsi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63AC8" w:rsidRDefault="009E0900" w:rsidP="00803EF7">
            <w:pPr>
              <w:rPr>
                <w:rFonts w:ascii="Arial" w:hAnsi="Arial" w:cs="Arial"/>
              </w:rPr>
            </w:pPr>
          </w:p>
        </w:tc>
      </w:tr>
      <w:tr w:rsidR="00963AC8" w:rsidRPr="00963AC8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="00AF4460"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</w:rPr>
              <w:t>05</w:t>
            </w:r>
            <w:r w:rsidR="006C77F5" w:rsidRPr="00963AC8">
              <w:rPr>
                <w:rFonts w:ascii="Arial" w:hAnsi="Arial" w:cs="Arial"/>
              </w:rPr>
              <w:t>3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но не менее 2 руб.</w:t>
            </w:r>
          </w:p>
          <w:p w:rsidR="009E0900" w:rsidRPr="00963AC8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63AC8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на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63AC8" w:rsidRDefault="00C77D17" w:rsidP="008A2611">
      <w:pPr>
        <w:ind w:left="709"/>
        <w:jc w:val="both"/>
        <w:rPr>
          <w:rFonts w:ascii="Arial" w:hAnsi="Arial" w:cs="Arial"/>
          <w:b/>
        </w:rPr>
      </w:pPr>
      <w:proofErr w:type="gramStart"/>
      <w:r w:rsidRPr="00963AC8">
        <w:rPr>
          <w:rFonts w:ascii="Arial" w:hAnsi="Arial" w:cs="Arial"/>
          <w:b/>
        </w:rPr>
        <w:lastRenderedPageBreak/>
        <w:t xml:space="preserve"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</w:t>
      </w:r>
      <w:r w:rsidR="008A2611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24098C" w:rsidRPr="00963AC8" w:rsidRDefault="0024098C" w:rsidP="00172B15">
            <w:pPr>
              <w:pStyle w:val="-11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  <w:p w:rsidR="0024098C" w:rsidRPr="00963AC8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45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45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E71F31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63AC8">
              <w:rPr>
                <w:rFonts w:ascii="Arial" w:hAnsi="Arial" w:cs="Arial"/>
              </w:rPr>
              <w:t xml:space="preserve"> облигации, включая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63AC8" w:rsidRDefault="0024098C" w:rsidP="008A2611">
      <w:pPr>
        <w:ind w:left="709"/>
        <w:jc w:val="both"/>
      </w:pPr>
    </w:p>
    <w:p w:rsidR="00D87BD4" w:rsidRPr="00963AC8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D87BD4">
      <w:pPr>
        <w:pStyle w:val="-11"/>
        <w:ind w:left="0" w:firstLine="0"/>
        <w:jc w:val="both"/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 xml:space="preserve">Договоры </w:t>
      </w:r>
      <w:proofErr w:type="spellStart"/>
      <w:r w:rsidRPr="00963AC8">
        <w:rPr>
          <w:rFonts w:ascii="Arial" w:hAnsi="Arial" w:cs="Arial"/>
          <w:b/>
        </w:rPr>
        <w:t>репо</w:t>
      </w:r>
      <w:proofErr w:type="spellEnd"/>
      <w:r w:rsidRPr="00963AC8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lastRenderedPageBreak/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112CFDD7" wp14:editId="0612DBEE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1C8BDD21" wp14:editId="3CAF0026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20A57E62" wp14:editId="07EE4182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5A53CBC7" wp14:editId="5BBD69EF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firstLine="708"/>
      </w:pPr>
      <w:r w:rsidRPr="00963AC8">
        <w:rPr>
          <w:rFonts w:ascii="Arial" w:hAnsi="Arial" w:cs="Arial"/>
        </w:rPr>
        <w:t xml:space="preserve">, </w:t>
      </w:r>
      <w:r w:rsidRPr="00963AC8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0C95CB19" wp14:editId="699D2651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4CD3E005" wp14:editId="7745FD8C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63AC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63AC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531CECFA" wp14:editId="17BC1C3F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63AC8">
              <w:rPr>
                <w:rFonts w:ascii="Arial" w:hAnsi="Arial" w:cs="Arial"/>
              </w:rPr>
              <w:t xml:space="preserve">ии </w:t>
            </w:r>
            <w:r w:rsidRPr="00963AC8">
              <w:rPr>
                <w:rFonts w:ascii="Arial" w:hAnsi="Arial" w:cs="Arial"/>
              </w:rPr>
              <w:t>АО</w:t>
            </w:r>
            <w:proofErr w:type="gramEnd"/>
            <w:r w:rsidRPr="00963AC8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2694662B" wp14:editId="26204BD3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63AC8" w:rsidRDefault="006512D3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r w:rsidRPr="00963AC8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63AC8">
              <w:rPr>
                <w:rFonts w:ascii="Arial" w:hAnsi="Arial" w:cs="Arial"/>
              </w:rPr>
              <w:t>увровню</w:t>
            </w:r>
            <w:proofErr w:type="spellEnd"/>
            <w:r w:rsidRPr="00963AC8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4009AD14" wp14:editId="4E41A06C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3E365B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63AC8" w:rsidRDefault="006512D3" w:rsidP="006512D3">
            <w:r w:rsidRPr="00963AC8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63AC8">
              <w:rPr>
                <w:rFonts w:ascii="Arial" w:hAnsi="Arial" w:cs="Arial"/>
              </w:rPr>
              <w:t>риск-</w:t>
            </w:r>
            <w:r w:rsidRPr="00963AC8">
              <w:rPr>
                <w:rFonts w:ascii="Arial" w:hAnsi="Arial" w:cs="Arial"/>
              </w:rPr>
              <w:lastRenderedPageBreak/>
              <w:t>параметров</w:t>
            </w:r>
            <w:proofErr w:type="gramEnd"/>
            <w:r w:rsidRPr="00963AC8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lastRenderedPageBreak/>
              <w:drawing>
                <wp:inline distT="0" distB="0" distL="0" distR="0" wp14:anchorId="46B42600" wp14:editId="0822B4E1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681DE47" wp14:editId="2F3908A9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A0DFE15" wp14:editId="45D9386E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Переменная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Постоянная часть </w:t>
      </w:r>
      <w:r w:rsidR="00C77D17" w:rsidRPr="00963AC8">
        <w:rPr>
          <w:rFonts w:ascii="Arial" w:hAnsi="Arial" w:cs="Arial"/>
        </w:rPr>
        <w:t>Вознаграждени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5B2995" w:rsidRPr="00963AC8" w:rsidRDefault="005B2995" w:rsidP="005B299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штрафов, взимаемых НКО-ЦК «Клиринговый центр МФБ» (АО)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обработку поручений на внесение/списание/ перевод ценных бумаг на/c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депо.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обработку поручений на перевод ценных бумаг на/c разделов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 внутри </w:t>
      </w:r>
      <w:proofErr w:type="spellStart"/>
      <w:r w:rsidRPr="00963AC8">
        <w:rPr>
          <w:rFonts w:ascii="Arial" w:hAnsi="Arial" w:cs="Arial"/>
        </w:rPr>
        <w:t>Субсчета</w:t>
      </w:r>
      <w:proofErr w:type="spellEnd"/>
      <w:r w:rsidRPr="00963AC8">
        <w:rPr>
          <w:rFonts w:ascii="Arial" w:hAnsi="Arial" w:cs="Arial"/>
        </w:rPr>
        <w:t xml:space="preserve"> депо.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Списание с Субсчета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Pr="00963AC8">
        <w:rPr>
          <w:rFonts w:ascii="Arial" w:hAnsi="Arial" w:cs="Arial"/>
        </w:rPr>
        <w:t xml:space="preserve"> счета депо зачисления указывается не Субсчет депо согласно Тарифам за оказание клиринговых услуг и иных связанных с ними услуг при осуществлении НКО-ЦК «Клиринговый центр МФБ» (АО) клиринговой деятельности на рынке ценных бумаг (https://mse.ru/ru/tariffs/tariffs_klirusl_rcenbum/).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комиссий за депозитарное обслуживание, а также комиссий связанных с отражением корпоративных событий, взимаемых НКО-ЦК «Клиринговый центр МФБ» (АО)</w:t>
      </w:r>
    </w:p>
    <w:p w:rsidR="005B2995" w:rsidRPr="00C7684C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963AC8" w:rsidRDefault="00C7684C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транзакционных налогов</w:t>
      </w:r>
      <w:bookmarkStart w:id="51" w:name="_GoBack"/>
      <w:bookmarkEnd w:id="51"/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lastRenderedPageBreak/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t xml:space="preserve">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63AC8" w:rsidRDefault="00D87BD4">
      <w:pPr>
        <w:jc w:val="both"/>
        <w:rPr>
          <w:rFonts w:ascii="Arial" w:hAnsi="Arial" w:cs="Arial"/>
        </w:rPr>
      </w:pP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63956617"/>
      <w:r w:rsidRPr="00963AC8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963AC8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63956618"/>
      <w:r w:rsidRPr="00963AC8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963AC8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Pr="00963AC8">
        <w:rPr>
          <w:rFonts w:ascii="Arial" w:hAnsi="Arial" w:cs="Arial"/>
        </w:rPr>
        <w:t>25 (Двадцать пять) долларов США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963AC8" w:rsidRPr="00963AC8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 xml:space="preserve">0,08% </w:t>
            </w:r>
            <w:r w:rsidRPr="00963AC8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 xml:space="preserve">0,5% </w:t>
            </w:r>
            <w:r w:rsidRPr="00963AC8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B2673C" w:rsidRPr="00963AC8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Биржевые, клиринговы</w:t>
      </w:r>
      <w:r w:rsidR="00C504CD" w:rsidRPr="00963AC8">
        <w:rPr>
          <w:rFonts w:ascii="Arial" w:hAnsi="Arial" w:cs="Arial"/>
        </w:rPr>
        <w:t>е</w:t>
      </w:r>
      <w:r w:rsidR="008C4E75" w:rsidRPr="00963AC8">
        <w:rPr>
          <w:rFonts w:ascii="Arial" w:hAnsi="Arial" w:cs="Arial"/>
        </w:rPr>
        <w:t xml:space="preserve"> комиссии</w:t>
      </w:r>
      <w:r w:rsidRPr="00963AC8">
        <w:rPr>
          <w:rFonts w:ascii="Arial" w:hAnsi="Arial" w:cs="Arial"/>
        </w:rPr>
        <w:t>,</w:t>
      </w:r>
      <w:r w:rsidR="008C4E75" w:rsidRPr="00963AC8">
        <w:rPr>
          <w:rFonts w:ascii="Arial" w:hAnsi="Arial" w:cs="Arial"/>
        </w:rPr>
        <w:t xml:space="preserve"> комиссии за использование рыночных данных,</w:t>
      </w:r>
      <w:r w:rsidRPr="00963AC8">
        <w:rPr>
          <w:rFonts w:ascii="Arial" w:hAnsi="Arial" w:cs="Arial"/>
        </w:rPr>
        <w:t xml:space="preserve"> нормативные и иные регулятивные комиссии и </w:t>
      </w:r>
      <w:proofErr w:type="gramStart"/>
      <w:r w:rsidRPr="00963AC8">
        <w:rPr>
          <w:rFonts w:ascii="Arial" w:hAnsi="Arial" w:cs="Arial"/>
        </w:rPr>
        <w:t>сборы</w:t>
      </w:r>
      <w:proofErr w:type="gramEnd"/>
      <w:r w:rsidRPr="00963AC8">
        <w:rPr>
          <w:rFonts w:ascii="Arial" w:hAnsi="Arial" w:cs="Arial"/>
        </w:rPr>
        <w:t xml:space="preserve"> взимаемые третьими лицами</w:t>
      </w:r>
      <w:r w:rsidR="008C4E75" w:rsidRPr="00963AC8">
        <w:rPr>
          <w:rFonts w:ascii="Arial" w:hAnsi="Arial" w:cs="Arial"/>
        </w:rPr>
        <w:t>,</w:t>
      </w:r>
      <w:r w:rsidRPr="00963AC8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63AC8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63956619"/>
      <w:r w:rsidRPr="00963AC8">
        <w:rPr>
          <w:rFonts w:ascii="Arial" w:hAnsi="Arial" w:cs="Arial"/>
          <w:b/>
          <w:i/>
        </w:rPr>
        <w:lastRenderedPageBreak/>
        <w:t>Внебиржевой рынок</w:t>
      </w:r>
      <w:r w:rsidR="00956CF0" w:rsidRPr="00963AC8">
        <w:rPr>
          <w:rFonts w:ascii="Arial" w:hAnsi="Arial" w:cs="Arial"/>
          <w:b/>
          <w:i/>
        </w:rPr>
        <w:t>**</w:t>
      </w:r>
      <w:bookmarkEnd w:id="55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63956620"/>
      <w:r w:rsidRPr="00963AC8">
        <w:rPr>
          <w:rFonts w:ascii="Arial" w:hAnsi="Arial" w:cs="Arial"/>
          <w:b/>
          <w:i/>
        </w:rPr>
        <w:t>Тариф «Первый Внебиржевой»</w:t>
      </w:r>
      <w:bookmarkEnd w:id="56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963AC8" w:rsidRPr="00963AC8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both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0.</w:t>
            </w:r>
            <w:r w:rsidR="003E365B" w:rsidRPr="00963AC8">
              <w:rPr>
                <w:rFonts w:ascii="Arial" w:hAnsi="Arial" w:cs="Arial"/>
              </w:rPr>
              <w:t>05</w:t>
            </w:r>
            <w:r w:rsidRPr="00963AC8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63AC8" w:rsidRDefault="00C77D17">
      <w:r w:rsidRPr="00963AC8">
        <w:rPr>
          <w:rFonts w:ascii="Arial" w:eastAsia="Arial" w:hAnsi="Arial" w:cs="Arial"/>
        </w:rPr>
        <w:t xml:space="preserve"> 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63AC8" w:rsidRDefault="00C77D17">
      <w:pPr>
        <w:pStyle w:val="-11"/>
        <w:rPr>
          <w:rFonts w:ascii="Arial" w:hAnsi="Arial" w:cs="Arial"/>
        </w:rPr>
      </w:pPr>
      <w:r w:rsidRPr="00963AC8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63AC8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bookmarkEnd w:id="57"/>
    <w:p w:rsidR="006A239D" w:rsidRPr="00963AC8" w:rsidRDefault="006A239D" w:rsidP="00C504CD">
      <w:pPr>
        <w:pStyle w:val="-11"/>
        <w:ind w:firstLine="0"/>
        <w:jc w:val="both"/>
      </w:pPr>
      <w:r w:rsidRPr="00963AC8"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8" w:name="_Toc63956621"/>
      <w:r w:rsidRPr="00963AC8">
        <w:rPr>
          <w:rFonts w:ascii="Arial" w:hAnsi="Arial" w:cs="Arial"/>
          <w:b/>
          <w:i/>
        </w:rPr>
        <w:lastRenderedPageBreak/>
        <w:t>Технологические сервисы:</w:t>
      </w:r>
      <w:bookmarkEnd w:id="58"/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963AC8" w:rsidRPr="00963AC8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963AC8" w:rsidRPr="00963AC8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963AC8" w:rsidRPr="00963AC8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63AC8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63AC8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63AC8">
              <w:rPr>
                <w:rFonts w:ascii="Arial" w:hAnsi="Arial" w:cs="Arial"/>
              </w:rPr>
              <w:t>PocketQUIK</w:t>
            </w:r>
            <w:proofErr w:type="spellEnd"/>
            <w:r w:rsidRPr="00963AC8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63AC8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63AC8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63AC8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63AC8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63AC8" w:rsidRDefault="008C7D32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63AC8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63AC8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63AC8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63AC8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63AC8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 xml:space="preserve">ИТС </w:t>
            </w:r>
            <w:r w:rsidRPr="00963AC8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63AC8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63AC8" w:rsidRDefault="00594C3D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963AC8">
                <w:rPr>
                  <w:rStyle w:val="a4"/>
                  <w:rFonts w:ascii="Arial" w:hAnsi="Arial" w:cs="Arial"/>
                  <w:color w:val="auto"/>
                </w:rPr>
                <w:t>http://www.cqg.com/products/product-comparison</w:t>
              </w:r>
            </w:hyperlink>
            <w:r w:rsidR="006A128F" w:rsidRPr="00963AC8">
              <w:t xml:space="preserve"> </w:t>
            </w:r>
            <w:r w:rsidR="00456835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63AC8">
                <w:rPr>
                  <w:rStyle w:val="a4"/>
                  <w:rFonts w:ascii="Arial" w:hAnsi="Arial" w:cs="Arial"/>
                  <w:color w:val="auto"/>
                  <w:kern w:val="1"/>
                  <w:lang w:eastAsia="en-US"/>
                </w:rPr>
                <w:t>http://www.cqg.com</w:t>
              </w:r>
            </w:hyperlink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63AC8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</w:t>
            </w:r>
            <w:r w:rsidRPr="00963AC8">
              <w:rPr>
                <w:rFonts w:ascii="Arial" w:hAnsi="Arial" w:cs="Arial"/>
                <w:lang w:val="en-US"/>
              </w:rPr>
              <w:t>5</w:t>
            </w:r>
            <w:r w:rsidRPr="00963AC8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63AC8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</w:rPr>
              <w:t>ИТС ROX ®</w:t>
            </w:r>
            <w:r w:rsidRPr="00963AC8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63AC8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63AC8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63AC8">
              <w:rPr>
                <w:rFonts w:ascii="Arial" w:hAnsi="Arial" w:cs="Arial"/>
              </w:rPr>
              <w:t>ПАО Московская биржа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63AC8">
              <w:rPr>
                <w:rFonts w:ascii="Arial" w:hAnsi="Arial" w:cs="Arial"/>
              </w:rPr>
              <w:lastRenderedPageBreak/>
              <w:t>идентификатора технического доступа.</w:t>
            </w:r>
          </w:p>
          <w:p w:rsidR="00AB2A37" w:rsidRPr="00963AC8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>Тарифы указаны за единицу производительности (30 транзакций в секунду).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63AC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63AC8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472283" w:rsidRPr="00963AC8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</w:t>
            </w:r>
            <w:r w:rsidR="00472283" w:rsidRPr="00963AC8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63AC8" w:rsidRDefault="00472283" w:rsidP="00472283">
            <w:r w:rsidRPr="00963AC8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63AC8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FIX </w:t>
            </w:r>
            <w:proofErr w:type="spellStart"/>
            <w:r w:rsidRPr="00963AC8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FAST </w:t>
            </w:r>
            <w:proofErr w:type="spellStart"/>
            <w:r w:rsidRPr="00963AC8">
              <w:rPr>
                <w:rFonts w:ascii="Arial" w:hAnsi="Arial" w:cs="Arial"/>
              </w:rPr>
              <w:t>Gate</w:t>
            </w:r>
            <w:proofErr w:type="spellEnd"/>
            <w:r w:rsidRPr="00963AC8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63AC8">
              <w:rPr>
                <w:rFonts w:ascii="Arial" w:hAnsi="Arial" w:cs="Arial"/>
              </w:rPr>
              <w:t>Full_orders_log</w:t>
            </w:r>
            <w:proofErr w:type="spellEnd"/>
            <w:r w:rsidRPr="00963AC8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16800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  <w:proofErr w:type="gramEnd"/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Pr="00963AC8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Pr="00963AC8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 xml:space="preserve">до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</w:rPr>
              <w:t xml:space="preserve"> логинов</w:t>
            </w:r>
            <w:r w:rsidRPr="00963AC8">
              <w:rPr>
                <w:rFonts w:ascii="Arial" w:hAnsi="Arial" w:cs="Arial"/>
              </w:rPr>
              <w:t xml:space="preserve"> – 600 руб.</w:t>
            </w:r>
          </w:p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7761E7" w:rsidRPr="00963AC8" w:rsidRDefault="007761E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</w:tc>
      </w:tr>
      <w:tr w:rsidR="00963AC8" w:rsidRPr="00963AC8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 xml:space="preserve">свыше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</w:rPr>
              <w:t xml:space="preserve"> логинов</w:t>
            </w:r>
            <w:r w:rsidRPr="00963AC8"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pStyle w:val="aa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Брокерский логин уровня участника торгов категории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А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)****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  <w:r w:rsidR="007761E7" w:rsidRPr="00963AC8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1228B3" w:rsidRPr="00963AC8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Маркет-мейкерский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600 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  <w:p w:rsidR="001228B3" w:rsidRPr="00963AC8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просмотра истории </w:t>
            </w:r>
            <w:r w:rsidRPr="00963AC8">
              <w:rPr>
                <w:rFonts w:ascii="Arial" w:hAnsi="Arial" w:cs="Arial"/>
              </w:rPr>
              <w:lastRenderedPageBreak/>
              <w:t>транзакций (DC-GW)</w:t>
            </w:r>
          </w:p>
        </w:tc>
      </w:tr>
      <w:tr w:rsidR="00963AC8" w:rsidRPr="00963AC8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lastRenderedPageBreak/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Расширенный функционал брокерских логинов, указанных в пунктах 2.2.1 и 2.2.2 таблицы, для доступа к шлюзу просмотра истории транзакций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 xml:space="preserve">До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 xml:space="preserve"> логинов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- </w:t>
            </w:r>
            <w:r w:rsidRPr="00963AC8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Свыше 5 </w:t>
            </w:r>
            <w:proofErr w:type="spellStart"/>
            <w:proofErr w:type="gramStart"/>
            <w:r w:rsidRPr="00963AC8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</w:rPr>
              <w:t xml:space="preserve"> логинов – 2400 руб.</w:t>
            </w:r>
          </w:p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Логин Клирингового центра (логин, право </w:t>
            </w:r>
            <w:proofErr w:type="gramStart"/>
            <w:r w:rsidRPr="00963AC8">
              <w:rPr>
                <w:rFonts w:ascii="Arial" w:hAnsi="Arial" w:cs="Arial"/>
                <w:kern w:val="1"/>
                <w:lang w:eastAsia="ru-RU"/>
              </w:rPr>
              <w:t>использования</w:t>
            </w:r>
            <w:proofErr w:type="gram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которого предоставляется только лицу, выполняющему функции центрального контрагента на торгах Организатора торговли»)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300 (кол-во логинов не ограничено)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Участника клиринга (логин, которому не присвоены права на подачу заявок на торгах, проводимых ПАО «СПБ Биржа)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C34EF0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</w:t>
            </w:r>
            <w:r w:rsidR="00C34EF0" w:rsidRPr="00963AC8">
              <w:rPr>
                <w:rFonts w:ascii="Arial" w:hAnsi="Arial" w:cs="Arial"/>
              </w:rPr>
              <w:t>4</w:t>
            </w:r>
            <w:r w:rsidRPr="00963AC8">
              <w:rPr>
                <w:rFonts w:ascii="Arial" w:hAnsi="Arial" w:cs="Arial"/>
              </w:rPr>
              <w:t xml:space="preserve">00 </w:t>
            </w:r>
            <w:r w:rsidR="00C34EF0" w:rsidRPr="00963AC8">
              <w:rPr>
                <w:rFonts w:ascii="Arial" w:hAnsi="Arial" w:cs="Arial"/>
              </w:rPr>
              <w:t>(</w:t>
            </w:r>
            <w:r w:rsidRPr="00963AC8">
              <w:rPr>
                <w:rFonts w:ascii="Arial" w:hAnsi="Arial" w:cs="Arial"/>
              </w:rPr>
              <w:t>за каждый логин</w:t>
            </w:r>
            <w:r w:rsidR="00C34EF0" w:rsidRPr="00963AC8">
              <w:rPr>
                <w:rFonts w:ascii="Arial" w:hAnsi="Arial" w:cs="Arial"/>
              </w:rPr>
              <w:t>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  <w:kern w:val="1"/>
                <w:lang w:eastAsia="ru-RU"/>
              </w:rPr>
              <w:t>risk</w:t>
            </w:r>
            <w:proofErr w:type="spell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-GW). Не </w:t>
            </w:r>
            <w:proofErr w:type="gramStart"/>
            <w:r w:rsidRPr="00963AC8">
              <w:rPr>
                <w:rFonts w:ascii="Arial" w:hAnsi="Arial" w:cs="Arial"/>
                <w:kern w:val="1"/>
                <w:lang w:eastAsia="ru-RU"/>
              </w:rPr>
              <w:t>доступен</w:t>
            </w:r>
            <w:proofErr w:type="gram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на FIX/FAST протоколе.</w:t>
            </w:r>
          </w:p>
        </w:tc>
      </w:tr>
      <w:tr w:rsidR="00963AC8" w:rsidRPr="00963AC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63AC8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 w:rsidP="009A77A8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63AC8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63AC8" w:rsidRDefault="00472283">
      <w:pPr>
        <w:pStyle w:val="-11"/>
        <w:ind w:firstLine="0"/>
        <w:jc w:val="both"/>
      </w:pPr>
    </w:p>
    <w:p w:rsidR="009258EF" w:rsidRPr="00963AC8" w:rsidRDefault="009258EF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63AC8">
        <w:rPr>
          <w:rFonts w:ascii="Arial" w:hAnsi="Arial" w:cs="Arial"/>
        </w:rPr>
        <w:t>.</w:t>
      </w: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Ежемесячная </w:t>
      </w:r>
      <w:r w:rsidR="00896C72" w:rsidRPr="00963AC8">
        <w:rPr>
          <w:rFonts w:ascii="Arial" w:hAnsi="Arial" w:cs="Arial"/>
        </w:rPr>
        <w:t xml:space="preserve">плата </w:t>
      </w:r>
      <w:r w:rsidR="001F64C6" w:rsidRPr="00963AC8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63AC8">
        <w:rPr>
          <w:rFonts w:ascii="Arial" w:hAnsi="Arial" w:cs="Arial"/>
        </w:rPr>
        <w:t xml:space="preserve"> не позднее 5 (пятого) рабочего дня</w:t>
      </w:r>
      <w:r w:rsidR="00CA34B0" w:rsidRPr="00963AC8">
        <w:rPr>
          <w:rFonts w:ascii="Arial" w:hAnsi="Arial" w:cs="Arial"/>
        </w:rPr>
        <w:t xml:space="preserve">, следующего за </w:t>
      </w:r>
      <w:r w:rsidRPr="00963AC8">
        <w:rPr>
          <w:rFonts w:ascii="Arial" w:hAnsi="Arial" w:cs="Arial"/>
        </w:rPr>
        <w:t xml:space="preserve"> месяц</w:t>
      </w:r>
      <w:r w:rsidR="00CA34B0" w:rsidRPr="00963AC8">
        <w:rPr>
          <w:rFonts w:ascii="Arial" w:hAnsi="Arial" w:cs="Arial"/>
        </w:rPr>
        <w:t>ем</w:t>
      </w:r>
      <w:r w:rsidRPr="00963AC8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63AC8" w:rsidRDefault="00C77D17">
      <w:pPr>
        <w:ind w:firstLine="709"/>
        <w:jc w:val="both"/>
      </w:pPr>
      <w:r w:rsidRPr="00963AC8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63AC8" w:rsidRDefault="00C77D17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lastRenderedPageBreak/>
        <w:t>Банк вправе предоставлять технологические сервисы</w:t>
      </w:r>
      <w:r w:rsidR="00366CCE" w:rsidRPr="00963AC8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63AC8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63AC8" w:rsidRDefault="0003718F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  <w:sz w:val="18"/>
          <w:szCs w:val="18"/>
        </w:rPr>
        <w:t xml:space="preserve"> ®</w:t>
      </w:r>
      <w:r w:rsidRPr="00963AC8">
        <w:rPr>
          <w:rFonts w:ascii="Arial" w:hAnsi="Arial" w:cs="Arial"/>
        </w:rPr>
        <w:t xml:space="preserve"> является зарегистрированной маркой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Systems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Inc</w:t>
      </w:r>
      <w:r w:rsidRPr="00963AC8">
        <w:rPr>
          <w:rFonts w:ascii="Arial" w:hAnsi="Arial" w:cs="Arial"/>
          <w:sz w:val="18"/>
          <w:szCs w:val="18"/>
        </w:rPr>
        <w:t>®</w:t>
      </w:r>
      <w:r w:rsidRPr="00963AC8">
        <w:rPr>
          <w:rFonts w:ascii="Arial" w:hAnsi="Arial" w:cs="Arial"/>
        </w:rPr>
        <w:t>.</w:t>
      </w:r>
    </w:p>
    <w:p w:rsidR="006A239D" w:rsidRPr="00963AC8" w:rsidRDefault="00895395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03718F" w:rsidRPr="00963AC8">
        <w:rPr>
          <w:rFonts w:ascii="Arial" w:hAnsi="Arial" w:cs="Arial"/>
        </w:rPr>
        <w:t>*</w:t>
      </w:r>
      <w:r w:rsidRPr="00963AC8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63AC8">
        <w:rPr>
          <w:rFonts w:ascii="Arial" w:hAnsi="Arial" w:cs="Arial"/>
        </w:rPr>
        <w:t>.</w:t>
      </w:r>
      <w:bookmarkStart w:id="59" w:name="_Toc494120340"/>
      <w:bookmarkStart w:id="60" w:name="_Toc494120369"/>
      <w:bookmarkStart w:id="61" w:name="_Toc494120397"/>
      <w:bookmarkStart w:id="62" w:name="_Toc494120423"/>
      <w:bookmarkStart w:id="63" w:name="_Toc494120450"/>
      <w:bookmarkStart w:id="64" w:name="_Toc494120993"/>
      <w:bookmarkEnd w:id="59"/>
      <w:bookmarkEnd w:id="60"/>
      <w:bookmarkEnd w:id="61"/>
      <w:bookmarkEnd w:id="62"/>
      <w:bookmarkEnd w:id="63"/>
      <w:bookmarkEnd w:id="64"/>
    </w:p>
    <w:p w:rsidR="007761E7" w:rsidRPr="00963AC8" w:rsidRDefault="007761E7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**** </w:t>
      </w:r>
      <w:proofErr w:type="gramStart"/>
      <w:r w:rsidRPr="00963AC8">
        <w:rPr>
          <w:rFonts w:ascii="Arial" w:hAnsi="Arial" w:cs="Arial"/>
        </w:rPr>
        <w:t>д</w:t>
      </w:r>
      <w:proofErr w:type="gramEnd"/>
      <w:r w:rsidRPr="00963AC8">
        <w:rPr>
          <w:rFonts w:ascii="Arial" w:hAnsi="Arial" w:cs="Arial"/>
        </w:rPr>
        <w:t xml:space="preserve">анный логин выдается Клиентам, заключившим с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договор о выполнении обязательств </w:t>
      </w:r>
      <w:proofErr w:type="spellStart"/>
      <w:r w:rsidRPr="00963AC8">
        <w:rPr>
          <w:rFonts w:ascii="Arial" w:hAnsi="Arial" w:cs="Arial"/>
        </w:rPr>
        <w:t>маркет-мейкера</w:t>
      </w:r>
      <w:proofErr w:type="spellEnd"/>
      <w:r w:rsidRPr="00963AC8">
        <w:rPr>
          <w:rFonts w:ascii="Arial" w:hAnsi="Arial" w:cs="Arial"/>
        </w:rPr>
        <w:t xml:space="preserve">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>с использованием данного логина.</w:t>
      </w:r>
    </w:p>
    <w:p w:rsidR="00B767B2" w:rsidRPr="00963AC8" w:rsidRDefault="00B767B2" w:rsidP="00B767B2">
      <w:pPr>
        <w:ind w:firstLine="708"/>
        <w:jc w:val="both"/>
        <w:rPr>
          <w:rFonts w:ascii="Arial" w:hAnsi="Arial" w:cs="Arial"/>
        </w:rPr>
      </w:pPr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  <w:bookmarkStart w:id="65" w:name="_Toc63956622"/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>Дополнительные условия:</w:t>
      </w:r>
      <w:bookmarkEnd w:id="65"/>
    </w:p>
    <w:p w:rsidR="00D87BD4" w:rsidRPr="00963AC8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6" w:name="_Toc63956623"/>
      <w:r w:rsidR="00E47AF6" w:rsidRPr="00963AC8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63AC8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63AC8">
        <w:rPr>
          <w:rFonts w:ascii="Arial" w:hAnsi="Arial" w:cs="Arial"/>
          <w:b/>
          <w:i/>
        </w:rPr>
        <w:t>,</w:t>
      </w:r>
      <w:r w:rsidR="00081529" w:rsidRPr="00963AC8">
        <w:rPr>
          <w:rFonts w:ascii="Arial" w:hAnsi="Arial" w:cs="Arial"/>
          <w:b/>
          <w:i/>
        </w:rPr>
        <w:t xml:space="preserve"> </w:t>
      </w:r>
      <w:r w:rsidR="00E47AF6" w:rsidRPr="00963AC8">
        <w:rPr>
          <w:rFonts w:ascii="Arial" w:hAnsi="Arial" w:cs="Arial"/>
          <w:b/>
          <w:i/>
        </w:rPr>
        <w:t>взимаемой с Клиента</w:t>
      </w:r>
      <w:bookmarkEnd w:id="66"/>
    </w:p>
    <w:p w:rsidR="00CF51AC" w:rsidRPr="00963AC8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63AC8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63AC8">
        <w:rPr>
          <w:rFonts w:ascii="Arial" w:hAnsi="Arial" w:cs="Arial"/>
        </w:rPr>
        <w:t>п.1-6 настоящего Приложения №3</w:t>
      </w:r>
      <w:r w:rsidR="005C1753" w:rsidRPr="00963AC8">
        <w:rPr>
          <w:rFonts w:ascii="Arial" w:hAnsi="Arial" w:cs="Arial"/>
        </w:rPr>
        <w:t>:</w:t>
      </w:r>
      <w:r w:rsidRPr="00963AC8">
        <w:rPr>
          <w:rFonts w:ascii="Arial" w:hAnsi="Arial" w:cs="Arial"/>
          <w:bCs/>
          <w:iCs/>
        </w:rPr>
        <w:t xml:space="preserve"> </w:t>
      </w:r>
    </w:p>
    <w:p w:rsidR="00E47AF6" w:rsidRPr="00963AC8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>В</w:t>
      </w:r>
      <w:r w:rsidR="003E365B" w:rsidRPr="00963AC8">
        <w:rPr>
          <w:rFonts w:ascii="Arial" w:hAnsi="Arial" w:cs="Arial"/>
          <w:bCs/>
          <w:iCs/>
        </w:rPr>
        <w:t xml:space="preserve"> случае </w:t>
      </w:r>
      <w:r w:rsidR="008C3407" w:rsidRPr="00963AC8">
        <w:rPr>
          <w:rFonts w:ascii="Arial" w:hAnsi="Arial" w:cs="Arial"/>
          <w:bCs/>
          <w:iCs/>
        </w:rPr>
        <w:t>е</w:t>
      </w:r>
      <w:r w:rsidR="003E365B" w:rsidRPr="00963AC8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составляет менее 1 млн. рублей</w:t>
      </w:r>
      <w:r w:rsidRPr="00963AC8">
        <w:rPr>
          <w:rFonts w:ascii="Arial" w:hAnsi="Arial" w:cs="Arial"/>
          <w:bCs/>
          <w:iCs/>
        </w:rPr>
        <w:t xml:space="preserve"> (далее – </w:t>
      </w:r>
      <w:r w:rsidR="00543F03" w:rsidRPr="00963AC8">
        <w:rPr>
          <w:rFonts w:ascii="Arial" w:hAnsi="Arial" w:cs="Arial"/>
          <w:bCs/>
          <w:iCs/>
        </w:rPr>
        <w:t>У</w:t>
      </w:r>
      <w:r w:rsidRPr="00963AC8">
        <w:rPr>
          <w:rFonts w:ascii="Arial" w:hAnsi="Arial" w:cs="Arial"/>
          <w:bCs/>
          <w:iCs/>
        </w:rPr>
        <w:t>словия минимальной комиссии)</w:t>
      </w:r>
      <w:r w:rsidR="00877DF3" w:rsidRPr="00963AC8">
        <w:rPr>
          <w:rFonts w:ascii="Arial" w:hAnsi="Arial" w:cs="Arial"/>
        </w:rPr>
        <w:t xml:space="preserve">, Банк взимает с Клиента комиссию </w:t>
      </w:r>
      <w:r w:rsidR="008C3407" w:rsidRPr="00963AC8">
        <w:rPr>
          <w:rFonts w:ascii="Arial" w:hAnsi="Arial" w:cs="Arial"/>
        </w:rPr>
        <w:t>в размере 10 000 рублей</w:t>
      </w:r>
      <w:r w:rsidR="00081529" w:rsidRPr="00963AC8">
        <w:rPr>
          <w:rFonts w:ascii="Arial" w:hAnsi="Arial" w:cs="Arial"/>
        </w:rPr>
        <w:t>*</w:t>
      </w:r>
      <w:r w:rsidR="008C3407" w:rsidRPr="00963AC8">
        <w:rPr>
          <w:rFonts w:ascii="Arial" w:hAnsi="Arial" w:cs="Arial"/>
        </w:rPr>
        <w:t xml:space="preserve"> </w:t>
      </w:r>
      <w:r w:rsidR="00081529" w:rsidRPr="00963AC8">
        <w:rPr>
          <w:rFonts w:ascii="Arial" w:hAnsi="Arial" w:cs="Arial"/>
        </w:rPr>
        <w:t>в</w:t>
      </w:r>
      <w:r w:rsidR="008C3407" w:rsidRPr="00963AC8">
        <w:rPr>
          <w:rFonts w:ascii="Arial" w:hAnsi="Arial" w:cs="Arial"/>
        </w:rPr>
        <w:t xml:space="preserve"> месяц.</w:t>
      </w:r>
    </w:p>
    <w:p w:rsidR="00543F03" w:rsidRPr="00963AC8" w:rsidRDefault="00B47DE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081529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>взимается</w:t>
      </w:r>
      <w:r w:rsidR="00543F03" w:rsidRPr="00963AC8">
        <w:rPr>
          <w:rFonts w:ascii="Arial" w:hAnsi="Arial" w:cs="Arial"/>
        </w:rPr>
        <w:t xml:space="preserve"> за каждый календарный месяц</w:t>
      </w:r>
      <w:r w:rsidR="005C1753" w:rsidRPr="00963AC8">
        <w:rPr>
          <w:rFonts w:ascii="Arial" w:hAnsi="Arial" w:cs="Arial"/>
        </w:rPr>
        <w:t>,</w:t>
      </w:r>
      <w:r w:rsidR="00543F03" w:rsidRPr="00963AC8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63AC8" w:rsidRDefault="00543F0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94372B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 xml:space="preserve">взимается </w:t>
      </w:r>
      <w:r w:rsidR="00B47DE3" w:rsidRPr="00963AC8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63AC8">
        <w:rPr>
          <w:rFonts w:ascii="Arial" w:hAnsi="Arial" w:cs="Arial"/>
        </w:rPr>
        <w:t xml:space="preserve">календарным </w:t>
      </w:r>
      <w:r w:rsidR="00B47DE3" w:rsidRPr="00963AC8">
        <w:rPr>
          <w:rFonts w:ascii="Arial" w:hAnsi="Arial" w:cs="Arial"/>
        </w:rPr>
        <w:t>месяцем</w:t>
      </w:r>
      <w:r w:rsidR="005C1753" w:rsidRPr="00963AC8">
        <w:rPr>
          <w:rFonts w:ascii="Arial" w:hAnsi="Arial" w:cs="Arial"/>
        </w:rPr>
        <w:t>,</w:t>
      </w:r>
      <w:r w:rsidR="00B47DE3" w:rsidRPr="00963AC8">
        <w:rPr>
          <w:rFonts w:ascii="Arial" w:hAnsi="Arial" w:cs="Arial"/>
        </w:rPr>
        <w:t xml:space="preserve"> в котором наступили </w:t>
      </w:r>
      <w:r w:rsidRPr="00963AC8">
        <w:rPr>
          <w:rFonts w:ascii="Arial" w:hAnsi="Arial" w:cs="Arial"/>
        </w:rPr>
        <w:t>Условия минимальной комиссии.</w:t>
      </w:r>
    </w:p>
    <w:p w:rsidR="00543F03" w:rsidRPr="00963AC8" w:rsidRDefault="00543F0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63AC8">
        <w:rPr>
          <w:rFonts w:ascii="Arial" w:hAnsi="Arial" w:cs="Arial"/>
        </w:rPr>
        <w:t xml:space="preserve"> года</w:t>
      </w:r>
      <w:r w:rsidRPr="00963AC8">
        <w:rPr>
          <w:rFonts w:ascii="Arial" w:hAnsi="Arial" w:cs="Arial"/>
        </w:rPr>
        <w:t>. При этом первым календарным месяцем</w:t>
      </w:r>
      <w:r w:rsidR="005C1753" w:rsidRPr="00963AC8">
        <w:rPr>
          <w:rFonts w:ascii="Arial" w:hAnsi="Arial" w:cs="Arial"/>
        </w:rPr>
        <w:t>,</w:t>
      </w:r>
      <w:r w:rsidRPr="00963AC8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63AC8">
        <w:rPr>
          <w:rFonts w:ascii="Arial" w:hAnsi="Arial" w:cs="Arial"/>
        </w:rPr>
        <w:t>,</w:t>
      </w:r>
      <w:r w:rsidR="00081529"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является ноябрь 2019 года.</w:t>
      </w:r>
    </w:p>
    <w:p w:rsidR="00A008D9" w:rsidRPr="00963AC8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 w:rsidRPr="00963AC8">
        <w:rPr>
          <w:rFonts w:ascii="Arial" w:hAnsi="Arial" w:cs="Arial"/>
        </w:rPr>
        <w:t>:</w:t>
      </w:r>
      <w:proofErr w:type="gramEnd"/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</w:t>
      </w:r>
      <w:r w:rsidR="00543F03" w:rsidRPr="00963AC8">
        <w:rPr>
          <w:rFonts w:ascii="Arial" w:hAnsi="Arial" w:cs="Arial"/>
        </w:rPr>
        <w:t xml:space="preserve"> кредитными организациями</w:t>
      </w:r>
      <w:r w:rsidRPr="00963AC8">
        <w:rPr>
          <w:rFonts w:ascii="Arial" w:hAnsi="Arial" w:cs="Arial"/>
        </w:rPr>
        <w:t>;</w:t>
      </w:r>
    </w:p>
    <w:p w:rsidR="00543F03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эмитентами, с которыми </w:t>
      </w:r>
      <w:r w:rsidR="008B3499" w:rsidRPr="00963AC8">
        <w:rPr>
          <w:rFonts w:ascii="Arial" w:hAnsi="Arial" w:cs="Arial"/>
        </w:rPr>
        <w:t>заключен</w:t>
      </w:r>
      <w:r w:rsidR="001B000D" w:rsidRPr="00963AC8">
        <w:rPr>
          <w:rFonts w:ascii="Arial" w:hAnsi="Arial" w:cs="Arial"/>
        </w:rPr>
        <w:t>ы д</w:t>
      </w:r>
      <w:r w:rsidR="008B3499" w:rsidRPr="00963AC8">
        <w:rPr>
          <w:rFonts w:ascii="Arial" w:hAnsi="Arial" w:cs="Arial"/>
        </w:rPr>
        <w:t>оговор</w:t>
      </w:r>
      <w:r w:rsidR="001B000D" w:rsidRPr="00963AC8">
        <w:rPr>
          <w:rFonts w:ascii="Arial" w:hAnsi="Arial" w:cs="Arial"/>
        </w:rPr>
        <w:t xml:space="preserve">ы </w:t>
      </w:r>
      <w:r w:rsidR="008B3499" w:rsidRPr="00963AC8">
        <w:rPr>
          <w:rFonts w:ascii="Arial" w:hAnsi="Arial" w:cs="Arial"/>
        </w:rPr>
        <w:t xml:space="preserve"> об оказании</w:t>
      </w:r>
      <w:r w:rsidR="001B000D" w:rsidRPr="00963AC8">
        <w:rPr>
          <w:rFonts w:ascii="Arial" w:hAnsi="Arial" w:cs="Arial"/>
        </w:rPr>
        <w:t xml:space="preserve"> Банком</w:t>
      </w:r>
      <w:r w:rsidR="008B3499" w:rsidRPr="00963AC8">
        <w:rPr>
          <w:rFonts w:ascii="Arial" w:hAnsi="Arial" w:cs="Arial"/>
        </w:rPr>
        <w:t xml:space="preserve"> услуг </w:t>
      </w:r>
      <w:r w:rsidR="001B000D" w:rsidRPr="00963AC8">
        <w:rPr>
          <w:rFonts w:ascii="Arial" w:hAnsi="Arial" w:cs="Arial"/>
        </w:rPr>
        <w:t xml:space="preserve"> Клиенту </w:t>
      </w:r>
      <w:r w:rsidR="008B3499" w:rsidRPr="00963AC8">
        <w:rPr>
          <w:rFonts w:ascii="Arial" w:hAnsi="Arial" w:cs="Arial"/>
        </w:rPr>
        <w:t xml:space="preserve">по организации размещения </w:t>
      </w:r>
      <w:r w:rsidR="001B000D" w:rsidRPr="00963AC8">
        <w:rPr>
          <w:rFonts w:ascii="Arial" w:hAnsi="Arial" w:cs="Arial"/>
        </w:rPr>
        <w:t xml:space="preserve">/ по размещению </w:t>
      </w:r>
      <w:r w:rsidR="008B3499" w:rsidRPr="00963AC8">
        <w:rPr>
          <w:rFonts w:ascii="Arial" w:hAnsi="Arial" w:cs="Arial"/>
        </w:rPr>
        <w:t>эмиссионных ценных бумаг</w:t>
      </w:r>
      <w:r w:rsidRPr="00963AC8">
        <w:rPr>
          <w:rFonts w:ascii="Arial" w:hAnsi="Arial" w:cs="Arial"/>
        </w:rPr>
        <w:t>, агентские договоры по выкупу облигаций;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</w:t>
      </w:r>
      <w:proofErr w:type="spellStart"/>
      <w:r w:rsidRPr="00963AC8">
        <w:rPr>
          <w:rFonts w:ascii="Arial" w:hAnsi="Arial" w:cs="Arial"/>
        </w:rPr>
        <w:t>микрофинансовым</w:t>
      </w:r>
      <w:r w:rsidR="00A16CE7" w:rsidRPr="00963AC8">
        <w:rPr>
          <w:rFonts w:ascii="Arial" w:hAnsi="Arial" w:cs="Arial"/>
        </w:rPr>
        <w:t>и</w:t>
      </w:r>
      <w:proofErr w:type="spellEnd"/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>;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в процессе ликвидации (банкротства);</w:t>
      </w:r>
    </w:p>
    <w:p w:rsidR="00157B07" w:rsidRPr="00963AC8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 w:rsidRPr="00963AC8">
        <w:rPr>
          <w:rFonts w:ascii="Arial" w:hAnsi="Arial" w:cs="Arial"/>
        </w:rPr>
        <w:t>- иностранным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, которые в соответствии </w:t>
      </w:r>
      <w:r w:rsidR="00157B07" w:rsidRPr="00963AC8">
        <w:rPr>
          <w:rFonts w:ascii="Arial" w:hAnsi="Arial" w:cs="Arial"/>
        </w:rPr>
        <w:t>с их</w:t>
      </w:r>
      <w:r w:rsidRPr="00963AC8">
        <w:rPr>
          <w:rFonts w:ascii="Arial" w:hAnsi="Arial" w:cs="Arial"/>
        </w:rPr>
        <w:t xml:space="preserve"> </w:t>
      </w:r>
      <w:r w:rsidR="00157B07" w:rsidRPr="00963AC8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 w:rsidRPr="00963AC8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 w:rsidRPr="00963AC8">
        <w:rPr>
          <w:rFonts w:ascii="Arial" w:hAnsi="Arial" w:cs="Arial"/>
          <w:lang w:eastAsia="ru-RU"/>
        </w:rPr>
        <w:t>.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63AC8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63AC8" w:rsidRDefault="0008152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</w:t>
      </w:r>
      <w:r w:rsidR="00877DF3" w:rsidRPr="00963AC8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63AC8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63AC8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63956624"/>
      <w:r w:rsidRPr="00963AC8">
        <w:rPr>
          <w:rFonts w:ascii="Arial" w:hAnsi="Arial" w:cs="Arial"/>
          <w:b/>
          <w:i/>
        </w:rPr>
        <w:t xml:space="preserve">Плата за хранение </w:t>
      </w:r>
      <w:r w:rsidR="002C217A" w:rsidRPr="00963AC8">
        <w:rPr>
          <w:rFonts w:ascii="Arial" w:hAnsi="Arial" w:cs="Arial"/>
          <w:b/>
          <w:i/>
        </w:rPr>
        <w:t xml:space="preserve">денежных средств в </w:t>
      </w:r>
      <w:r w:rsidRPr="00963AC8">
        <w:rPr>
          <w:rFonts w:ascii="Arial" w:hAnsi="Arial" w:cs="Arial"/>
          <w:b/>
          <w:i/>
        </w:rPr>
        <w:t>иностранной валют</w:t>
      </w:r>
      <w:r w:rsidR="002C217A" w:rsidRPr="00963AC8">
        <w:rPr>
          <w:rFonts w:ascii="Arial" w:hAnsi="Arial" w:cs="Arial"/>
          <w:b/>
          <w:i/>
        </w:rPr>
        <w:t>е на инвестиционных счетах Клиента</w:t>
      </w:r>
      <w:r w:rsidRPr="00963AC8">
        <w:rPr>
          <w:rFonts w:ascii="Arial" w:hAnsi="Arial" w:cs="Arial"/>
          <w:b/>
          <w:i/>
        </w:rPr>
        <w:t>:</w:t>
      </w:r>
      <w:bookmarkEnd w:id="67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lastRenderedPageBreak/>
        <w:t>В случае наличия на Инвестиционных счетах Клиента (далее, Счет) среднемесячного остатка в иностранной валюте Евро (</w:t>
      </w:r>
      <w:r w:rsidRPr="00963AC8">
        <w:rPr>
          <w:rFonts w:ascii="Arial" w:hAnsi="Arial" w:cs="Arial"/>
          <w:lang w:val="en-US"/>
        </w:rPr>
        <w:t>EUR</w:t>
      </w:r>
      <w:r w:rsidRPr="00963AC8">
        <w:rPr>
          <w:rFonts w:ascii="Arial" w:hAnsi="Arial" w:cs="Arial"/>
        </w:rPr>
        <w:t>) или Швейцарский франк (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) в размере 100 000 EUR или 100 000 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  и более (далее - Условия платы за хранение), Банк взимает с Клиента </w:t>
      </w:r>
      <w:proofErr w:type="gramStart"/>
      <w:r w:rsidRPr="00963AC8">
        <w:rPr>
          <w:rFonts w:ascii="Arial" w:hAnsi="Arial" w:cs="Arial"/>
        </w:rPr>
        <w:t>плату</w:t>
      </w:r>
      <w:proofErr w:type="gramEnd"/>
      <w:r w:rsidRPr="00963AC8">
        <w:rPr>
          <w:rFonts w:ascii="Arial" w:hAnsi="Arial" w:cs="Arial"/>
        </w:rPr>
        <w:t xml:space="preserve"> рассчитанную по формуле: 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  <w:iCs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en>
              </m:f>
              <m:r>
                <w:rPr>
                  <w:rFonts w:ascii="Cambria Math" w:hAnsi="Cambria Math" w:cs="Arial"/>
                </w:rPr>
                <m:t>*(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lang w:val="en-US"/>
                        </w:rPr>
                        <m:t>b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Arial"/>
                </w:rPr>
                <m:t>*</m:t>
              </m:r>
              <m:r>
                <w:rPr>
                  <w:rFonts w:ascii="Cambria Math" w:hAnsi="Cambria Math" w:cs="Arial"/>
                  <w:lang w:val="en-US"/>
                </w:rPr>
                <m:t>n</m:t>
              </m:r>
              <m:r>
                <w:rPr>
                  <w:rFonts w:ascii="Cambria Math" w:hAnsi="Cambria Math" w:cs="Arial"/>
                </w:rPr>
                <m:t>)</m:t>
              </m:r>
            </m:e>
          </m:nary>
        </m:oMath>
      </m:oMathPara>
    </w:p>
    <w:p w:rsidR="006753E0" w:rsidRPr="00963AC8" w:rsidRDefault="006753E0" w:rsidP="006753E0">
      <w:pPr>
        <w:tabs>
          <w:tab w:val="left" w:pos="5760"/>
        </w:tabs>
        <w:ind w:firstLine="708"/>
        <w:jc w:val="both"/>
        <w:rPr>
          <w:rFonts w:ascii="Arial" w:hAnsi="Arial" w:cs="Arial"/>
          <w:b/>
          <w:bCs/>
          <w:i/>
          <w:iCs/>
        </w:rPr>
      </w:pPr>
      <w:r w:rsidRPr="00963AC8">
        <w:rPr>
          <w:rFonts w:ascii="Arial" w:hAnsi="Arial" w:cs="Arial"/>
          <w:b/>
          <w:bCs/>
          <w:i/>
          <w:iCs/>
        </w:rPr>
        <w:tab/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где:</w:t>
      </w:r>
    </w:p>
    <w:p w:rsidR="006753E0" w:rsidRPr="00963AC8" w:rsidRDefault="00594C3D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6753E0" w:rsidRPr="00963AC8">
        <w:rPr>
          <w:rFonts w:ascii="Arial" w:hAnsi="Arial" w:cs="Arial"/>
        </w:rPr>
        <w:t xml:space="preserve"> – размер денежных средств учитываемых на Счетах Клиента по </w:t>
      </w:r>
      <w:proofErr w:type="spellStart"/>
      <w:r w:rsidR="006753E0" w:rsidRPr="00963AC8">
        <w:rPr>
          <w:rFonts w:ascii="Arial" w:hAnsi="Arial" w:cs="Arial"/>
          <w:lang w:val="en-US"/>
        </w:rPr>
        <w:t>i</w:t>
      </w:r>
      <w:proofErr w:type="spellEnd"/>
      <w:r w:rsidR="006753E0" w:rsidRPr="00963AC8">
        <w:rPr>
          <w:rFonts w:ascii="Arial" w:hAnsi="Arial" w:cs="Arial"/>
        </w:rPr>
        <w:t>-й иностранной валюте на конец каждого календарного дня;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proofErr w:type="spellStart"/>
      <w:r w:rsidRPr="00963AC8">
        <w:rPr>
          <w:rFonts w:ascii="Arial" w:hAnsi="Arial" w:cs="Arial"/>
          <w:i/>
          <w:iCs/>
          <w:lang w:val="en-US"/>
        </w:rPr>
        <w:t>i</w:t>
      </w:r>
      <w:proofErr w:type="spellEnd"/>
      <w:r w:rsidRPr="00963AC8">
        <w:rPr>
          <w:rFonts w:ascii="Arial" w:hAnsi="Arial" w:cs="Arial"/>
        </w:rPr>
        <w:t xml:space="preserve"> </w:t>
      </w:r>
      <w:proofErr w:type="gramStart"/>
      <w:r w:rsidRPr="00963AC8">
        <w:rPr>
          <w:rFonts w:ascii="Arial" w:hAnsi="Arial" w:cs="Arial"/>
        </w:rPr>
        <w:t>–  валюта</w:t>
      </w:r>
      <w:proofErr w:type="gramEnd"/>
      <w:r w:rsidRPr="00963AC8">
        <w:rPr>
          <w:rFonts w:ascii="Arial" w:hAnsi="Arial" w:cs="Arial"/>
        </w:rPr>
        <w:t xml:space="preserve"> Евро (EUR)  либо валюта Швейцарский франк (CHF);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w:r w:rsidRPr="00963AC8">
        <w:rPr>
          <w:rFonts w:ascii="Arial" w:hAnsi="Arial" w:cs="Arial"/>
          <w:i/>
          <w:iCs/>
          <w:lang w:val="en-US"/>
        </w:rPr>
        <w:t>n</w:t>
      </w:r>
      <w:r w:rsidRPr="00963AC8">
        <w:rPr>
          <w:rFonts w:ascii="Arial" w:hAnsi="Arial" w:cs="Arial"/>
          <w:i/>
          <w:iCs/>
        </w:rPr>
        <w:t xml:space="preserve"> – </w:t>
      </w:r>
      <w:proofErr w:type="gramStart"/>
      <w:r w:rsidRPr="00963AC8">
        <w:rPr>
          <w:rFonts w:ascii="Arial" w:hAnsi="Arial" w:cs="Arial"/>
        </w:rPr>
        <w:t>количество</w:t>
      </w:r>
      <w:proofErr w:type="gramEnd"/>
      <w:r w:rsidRPr="00963AC8">
        <w:rPr>
          <w:rFonts w:ascii="Arial" w:hAnsi="Arial" w:cs="Arial"/>
        </w:rPr>
        <w:t xml:space="preserve"> дней в месяце;</w:t>
      </w:r>
    </w:p>
    <w:p w:rsidR="006753E0" w:rsidRPr="00963AC8" w:rsidRDefault="00594C3D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="006753E0" w:rsidRPr="00963AC8">
        <w:rPr>
          <w:rFonts w:ascii="Arial" w:hAnsi="Arial" w:cs="Arial"/>
          <w:i/>
          <w:iCs/>
        </w:rPr>
        <w:t xml:space="preserve"> </w:t>
      </w:r>
      <w:proofErr w:type="gramStart"/>
      <w:r w:rsidR="006753E0" w:rsidRPr="00963AC8">
        <w:rPr>
          <w:rFonts w:ascii="Arial" w:hAnsi="Arial" w:cs="Arial"/>
          <w:i/>
          <w:iCs/>
        </w:rPr>
        <w:t xml:space="preserve">– </w:t>
      </w:r>
      <w:r w:rsidR="006753E0" w:rsidRPr="00963AC8">
        <w:rPr>
          <w:rFonts w:ascii="Arial" w:hAnsi="Arial" w:cs="Arial"/>
        </w:rPr>
        <w:t xml:space="preserve">Величина последней опубликованной на дату расчета комиссии ставки ЦБ (в годовых) по </w:t>
      </w:r>
      <w:proofErr w:type="spellStart"/>
      <w:r w:rsidR="006753E0" w:rsidRPr="00963AC8">
        <w:rPr>
          <w:rFonts w:ascii="Arial" w:hAnsi="Arial" w:cs="Arial"/>
          <w:lang w:val="en-US"/>
        </w:rPr>
        <w:t>i</w:t>
      </w:r>
      <w:proofErr w:type="spellEnd"/>
      <w:r w:rsidR="006753E0" w:rsidRPr="00963AC8">
        <w:rPr>
          <w:rFonts w:ascii="Arial" w:hAnsi="Arial" w:cs="Arial"/>
        </w:rPr>
        <w:t xml:space="preserve">-й валюте, опубликованная на сайте Европейского Центрального Банка </w:t>
      </w:r>
      <w:hyperlink r:id="rId26" w:history="1">
        <w:r w:rsidR="006753E0" w:rsidRPr="00963AC8">
          <w:rPr>
            <w:rStyle w:val="a4"/>
            <w:rFonts w:ascii="Arial" w:hAnsi="Arial" w:cs="Arial"/>
            <w:color w:val="auto"/>
          </w:rPr>
          <w:t>https://www.ecb.europa.eu</w:t>
        </w:r>
      </w:hyperlink>
      <w:r w:rsidR="006753E0" w:rsidRPr="00963AC8">
        <w:rPr>
          <w:rFonts w:ascii="Arial" w:hAnsi="Arial" w:cs="Arial"/>
        </w:rPr>
        <w:t xml:space="preserve"> и Национальным банком Швейцарии </w:t>
      </w:r>
      <w:hyperlink r:id="rId27" w:history="1">
        <w:r w:rsidR="006753E0" w:rsidRPr="00963AC8">
          <w:rPr>
            <w:rStyle w:val="a4"/>
            <w:rFonts w:ascii="Arial" w:hAnsi="Arial" w:cs="Arial"/>
            <w:color w:val="auto"/>
          </w:rPr>
          <w:t>www.snb.ch</w:t>
        </w:r>
      </w:hyperlink>
      <w:r w:rsidR="006753E0" w:rsidRPr="00963AC8">
        <w:rPr>
          <w:rFonts w:ascii="Arial" w:hAnsi="Arial" w:cs="Arial"/>
        </w:rPr>
        <w:t xml:space="preserve">. </w:t>
      </w:r>
      <w:proofErr w:type="gramEnd"/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положительной годовой процентной ставки ЦБ, Банк принимает ее значение равной 0.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iCs/>
          <w:lang w:val="en-US"/>
        </w:rPr>
        <w:t>b</w:t>
      </w:r>
      <w:r w:rsidRPr="00963AC8">
        <w:rPr>
          <w:rFonts w:ascii="Arial" w:hAnsi="Arial" w:cs="Arial"/>
        </w:rPr>
        <w:t xml:space="preserve"> – </w:t>
      </w:r>
      <w:proofErr w:type="gramStart"/>
      <w:r w:rsidRPr="00963AC8">
        <w:rPr>
          <w:rFonts w:ascii="Arial" w:hAnsi="Arial" w:cs="Arial"/>
        </w:rPr>
        <w:t>величина</w:t>
      </w:r>
      <w:proofErr w:type="gramEnd"/>
      <w:r w:rsidRPr="00963AC8">
        <w:rPr>
          <w:rFonts w:ascii="Arial" w:hAnsi="Arial" w:cs="Arial"/>
        </w:rPr>
        <w:t xml:space="preserve"> дисконта равная для валюты Евро (EUR) - 0.6% (в годовых), для валюты Швейцарский франк (CHF) –0,5% (в годовых);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lang w:val="en-US"/>
        </w:rPr>
        <w:t>g</w:t>
      </w:r>
      <w:r w:rsidRPr="00963AC8">
        <w:rPr>
          <w:rFonts w:ascii="Arial" w:hAnsi="Arial" w:cs="Arial"/>
        </w:rPr>
        <w:t xml:space="preserve"> –количество дней в году;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  на инвестиционных счетах Клиента начисляется в конце каждого месяца на исходящий остаток  денежных средств по Счету за каждый календарный день месяца, в котором наступили данные Условия.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 на инвестиционных счетах Клиента списывается со Счета Клиента в российских рублях (по курсу ЦБ РФ на дату последнего дня календарного месяца),  не позднее 5 (пятого) рабочего дня месяца, следующего за календарным месяцем, в случае наступления данных Условий.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63AC8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63AC8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63956625"/>
      <w:r w:rsidRPr="00963AC8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963AC8" w:rsidRDefault="00C77D17">
      <w:pPr>
        <w:ind w:firstLine="708"/>
        <w:jc w:val="both"/>
      </w:pPr>
      <w:proofErr w:type="gramStart"/>
      <w:r w:rsidRPr="00963AC8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963AC8">
        <w:rPr>
          <w:rFonts w:ascii="Arial" w:hAnsi="Arial" w:cs="Arial"/>
        </w:rPr>
        <w:t xml:space="preserve"> Банка.</w:t>
      </w:r>
    </w:p>
    <w:p w:rsidR="00D87BD4" w:rsidRPr="00963AC8" w:rsidRDefault="00C77D17" w:rsidP="00D66878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63AC8" w:rsidRDefault="00D87BD4">
      <w:pPr>
        <w:ind w:firstLine="708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9" w:name="_Toc63956626"/>
      <w:r w:rsidRPr="00963AC8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63AC8" w:rsidRDefault="00D87BD4">
      <w:pPr>
        <w:rPr>
          <w:rFonts w:ascii="Arial" w:hAnsi="Arial" w:cs="Arial"/>
          <w:b/>
        </w:rPr>
      </w:pPr>
    </w:p>
    <w:p w:rsidR="00D87BD4" w:rsidRPr="00963AC8" w:rsidRDefault="00C77D17">
      <w:r w:rsidRPr="00963AC8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63AC8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r w:rsidRPr="00963AC8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63AC8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963AC8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bCs/>
          <w:i/>
          <w:iCs/>
        </w:rPr>
        <w:t>Плата за предоставление информации по инвестиционным счетам клиента третьим лицам по письменному запросу клиента или третьих лиц (в т.ч. по запросу аудиторских компаний)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C56F27" w:rsidRPr="00963AC8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 xml:space="preserve">2000 рублей за </w:t>
            </w:r>
            <w:r w:rsidR="007438E1" w:rsidRPr="00963AC8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63AC8" w:rsidRDefault="00C56F27" w:rsidP="00D66878">
      <w:pPr>
        <w:pStyle w:val="-11"/>
        <w:ind w:left="0" w:firstLine="0"/>
        <w:jc w:val="both"/>
        <w:rPr>
          <w:rFonts w:ascii="Arial" w:hAnsi="Arial" w:cs="Arial"/>
        </w:rPr>
      </w:pPr>
    </w:p>
    <w:sectPr w:rsidR="00C56F27" w:rsidRPr="00963AC8" w:rsidSect="00A70C9D">
      <w:footerReference w:type="default" r:id="rId28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3D" w:rsidRDefault="00594C3D" w:rsidP="00C504CD">
      <w:r>
        <w:separator/>
      </w:r>
    </w:p>
  </w:endnote>
  <w:endnote w:type="continuationSeparator" w:id="0">
    <w:p w:rsidR="00594C3D" w:rsidRDefault="00594C3D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4D207B" w:rsidRDefault="00A1381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84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D207B" w:rsidRDefault="004D207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3D" w:rsidRDefault="00594C3D" w:rsidP="00C504CD">
      <w:r>
        <w:separator/>
      </w:r>
    </w:p>
  </w:footnote>
  <w:footnote w:type="continuationSeparator" w:id="0">
    <w:p w:rsidR="00594C3D" w:rsidRDefault="00594C3D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AF"/>
    <w:rsid w:val="00011C05"/>
    <w:rsid w:val="00012529"/>
    <w:rsid w:val="0002460E"/>
    <w:rsid w:val="00035BB0"/>
    <w:rsid w:val="0003718F"/>
    <w:rsid w:val="00052FC3"/>
    <w:rsid w:val="000549BA"/>
    <w:rsid w:val="00057A2F"/>
    <w:rsid w:val="00067979"/>
    <w:rsid w:val="00081529"/>
    <w:rsid w:val="00090F3B"/>
    <w:rsid w:val="00096319"/>
    <w:rsid w:val="000B27D3"/>
    <w:rsid w:val="000D310C"/>
    <w:rsid w:val="000E0C25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47576"/>
    <w:rsid w:val="001531FC"/>
    <w:rsid w:val="001554ED"/>
    <w:rsid w:val="00157B07"/>
    <w:rsid w:val="00171B09"/>
    <w:rsid w:val="00172B15"/>
    <w:rsid w:val="00176632"/>
    <w:rsid w:val="00181BDF"/>
    <w:rsid w:val="00187702"/>
    <w:rsid w:val="0019230D"/>
    <w:rsid w:val="001B000D"/>
    <w:rsid w:val="001B19A9"/>
    <w:rsid w:val="001B607F"/>
    <w:rsid w:val="001B796D"/>
    <w:rsid w:val="001C04EF"/>
    <w:rsid w:val="001C6AC0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407"/>
    <w:rsid w:val="002E0535"/>
    <w:rsid w:val="002F00BF"/>
    <w:rsid w:val="002F063F"/>
    <w:rsid w:val="002F523D"/>
    <w:rsid w:val="002F5247"/>
    <w:rsid w:val="00303A5A"/>
    <w:rsid w:val="003125A5"/>
    <w:rsid w:val="00324758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5596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207B"/>
    <w:rsid w:val="004D5DEC"/>
    <w:rsid w:val="004F2817"/>
    <w:rsid w:val="00503B80"/>
    <w:rsid w:val="005241A5"/>
    <w:rsid w:val="0053273A"/>
    <w:rsid w:val="0054093F"/>
    <w:rsid w:val="00543F03"/>
    <w:rsid w:val="00552EE4"/>
    <w:rsid w:val="00557B11"/>
    <w:rsid w:val="00560ABA"/>
    <w:rsid w:val="00586FE7"/>
    <w:rsid w:val="005904F7"/>
    <w:rsid w:val="00594C3D"/>
    <w:rsid w:val="005A55DA"/>
    <w:rsid w:val="005A58DA"/>
    <w:rsid w:val="005A6313"/>
    <w:rsid w:val="005B1570"/>
    <w:rsid w:val="005B2995"/>
    <w:rsid w:val="005C1753"/>
    <w:rsid w:val="005C646E"/>
    <w:rsid w:val="005C7E28"/>
    <w:rsid w:val="005E647E"/>
    <w:rsid w:val="006170B4"/>
    <w:rsid w:val="0062450B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753E0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761E7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06D2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58EF"/>
    <w:rsid w:val="00931F89"/>
    <w:rsid w:val="009373D1"/>
    <w:rsid w:val="0094372B"/>
    <w:rsid w:val="009450E4"/>
    <w:rsid w:val="00953F3F"/>
    <w:rsid w:val="00956CF0"/>
    <w:rsid w:val="00962EFD"/>
    <w:rsid w:val="00963AC8"/>
    <w:rsid w:val="00971F09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381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076E6"/>
    <w:rsid w:val="00B17345"/>
    <w:rsid w:val="00B2673C"/>
    <w:rsid w:val="00B47DE3"/>
    <w:rsid w:val="00B54672"/>
    <w:rsid w:val="00B56654"/>
    <w:rsid w:val="00B767B2"/>
    <w:rsid w:val="00B82BCE"/>
    <w:rsid w:val="00B84ED3"/>
    <w:rsid w:val="00B9085F"/>
    <w:rsid w:val="00BA3BE3"/>
    <w:rsid w:val="00BA67E8"/>
    <w:rsid w:val="00BA6955"/>
    <w:rsid w:val="00BB7494"/>
    <w:rsid w:val="00BC315B"/>
    <w:rsid w:val="00BD1075"/>
    <w:rsid w:val="00BE090B"/>
    <w:rsid w:val="00C01967"/>
    <w:rsid w:val="00C028AF"/>
    <w:rsid w:val="00C149F5"/>
    <w:rsid w:val="00C168CC"/>
    <w:rsid w:val="00C22DA1"/>
    <w:rsid w:val="00C3111E"/>
    <w:rsid w:val="00C3179A"/>
    <w:rsid w:val="00C330A4"/>
    <w:rsid w:val="00C34EF0"/>
    <w:rsid w:val="00C41FAA"/>
    <w:rsid w:val="00C504CD"/>
    <w:rsid w:val="00C56F27"/>
    <w:rsid w:val="00C7684C"/>
    <w:rsid w:val="00C77D17"/>
    <w:rsid w:val="00C863E1"/>
    <w:rsid w:val="00CA08E5"/>
    <w:rsid w:val="00CA34B0"/>
    <w:rsid w:val="00CA5145"/>
    <w:rsid w:val="00CB2F2A"/>
    <w:rsid w:val="00CB727E"/>
    <w:rsid w:val="00CD396B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66878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4BC"/>
    <w:rsid w:val="00E1564F"/>
    <w:rsid w:val="00E17D72"/>
    <w:rsid w:val="00E266AC"/>
    <w:rsid w:val="00E3635A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0D1F"/>
    <w:rsid w:val="00F036A4"/>
    <w:rsid w:val="00F05FFA"/>
    <w:rsid w:val="00F10109"/>
    <w:rsid w:val="00F43D3D"/>
    <w:rsid w:val="00F55322"/>
    <w:rsid w:val="00F8145F"/>
    <w:rsid w:val="00F82FED"/>
    <w:rsid w:val="00FA24C2"/>
    <w:rsid w:val="00FC5E4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ecb.europa.eu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hyperlink" Target="http://www.snb.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4426-B41F-4E05-B6B7-B1E59757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7374</Words>
  <Characters>42033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4</cp:revision>
  <cp:lastPrinted>2017-09-22T08:28:00Z</cp:lastPrinted>
  <dcterms:created xsi:type="dcterms:W3CDTF">2022-05-17T11:12:00Z</dcterms:created>
  <dcterms:modified xsi:type="dcterms:W3CDTF">2022-05-26T10:27:00Z</dcterms:modified>
</cp:coreProperties>
</file>