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9A73EB">
        <w:rPr>
          <w:rFonts w:ascii="Arial" w:hAnsi="Arial" w:cs="Arial"/>
          <w:b/>
        </w:rPr>
        <w:t>Эффортс</w:t>
      </w:r>
      <w:proofErr w:type="spellEnd"/>
      <w:r w:rsidRPr="009A73EB">
        <w:rPr>
          <w:rFonts w:ascii="Arial" w:hAnsi="Arial" w:cs="Arial"/>
          <w:b/>
        </w:rPr>
        <w:t xml:space="preserve">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Default="0019230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6395660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биржа**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_Toc63956607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_Toc63956608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_Toc63956609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_Toc63956610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4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рынок***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_Toc63956611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_Toc63956612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_Toc63956613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6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рынок**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_Toc63956614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_Toc63956615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_Toc63956616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12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_Toc63956617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_Toc63956618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рынок**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_Toc63956619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_Toc63956620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_Toc63956621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19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_Toc63956622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_Toc63956623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денежных средств в иностранной валюте на инвестиционных счетах Клиента: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_Toc63956624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_Toc63956625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_Toc63956626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8606D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>
              <w:rPr>
                <w:rStyle w:val="a4"/>
                <w:rFonts w:ascii="Arial" w:hAnsi="Arial" w:cs="Arial"/>
                <w:b/>
                <w:i/>
                <w:noProof/>
              </w:rPr>
              <w:t xml:space="preserve">клиента и </w:t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третьих лиц (в т.ч. по запросу аудиторских компаний)</w:t>
            </w:r>
            <w:r w:rsidR="00147576">
              <w:rPr>
                <w:noProof/>
                <w:webHidden/>
              </w:rPr>
              <w:tab/>
            </w:r>
            <w:r w:rsidR="0019230D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_Toc63956627 \h </w:instrText>
            </w:r>
            <w:r w:rsidR="0019230D">
              <w:rPr>
                <w:noProof/>
                <w:webHidden/>
              </w:rPr>
            </w:r>
            <w:r w:rsidR="0019230D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24</w:t>
            </w:r>
            <w:r w:rsidR="0019230D">
              <w:rPr>
                <w:noProof/>
                <w:webHidden/>
              </w:rPr>
              <w:fldChar w:fldCharType="end"/>
            </w:r>
          </w:hyperlink>
        </w:p>
        <w:p w:rsidR="00147576" w:rsidRDefault="0019230D" w:rsidP="00147576">
          <w:r w:rsidRPr="009A73EB">
            <w:fldChar w:fldCharType="end"/>
          </w:r>
        </w:p>
      </w:sdtContent>
    </w:sdt>
    <w:p w:rsidR="00B00F63" w:rsidRPr="00147576" w:rsidRDefault="00B00F63" w:rsidP="00147576"/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r w:rsidR="0094372B" w:rsidRPr="009A73EB">
        <w:rPr>
          <w:rFonts w:ascii="Arial" w:hAnsi="Arial" w:cs="Arial"/>
          <w:b/>
          <w:i/>
        </w:rPr>
        <w:t>**</w:t>
      </w:r>
      <w:bookmarkEnd w:id="15"/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r w:rsidR="00956CF0" w:rsidRPr="009A73EB">
        <w:rPr>
          <w:rFonts w:ascii="Arial" w:hAnsi="Arial" w:cs="Arial"/>
          <w:b/>
          <w:i/>
        </w:rPr>
        <w:t>***</w:t>
      </w:r>
      <w:bookmarkEnd w:id="39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A73EB">
        <w:rPr>
          <w:rFonts w:ascii="Arial" w:hAnsi="Arial" w:cs="Arial"/>
          <w:b/>
          <w:i/>
        </w:rPr>
        <w:lastRenderedPageBreak/>
        <w:t>Фондовый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48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>
        <w:rPr>
          <w:rFonts w:ascii="Arial" w:hAnsi="Arial" w:cs="Arial"/>
          <w:b/>
        </w:rPr>
        <w:t>СПБ Б</w:t>
      </w:r>
      <w:r w:rsidRPr="009A73EB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F00D1F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F00D1F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«</w:t>
            </w:r>
            <w:r w:rsidR="00F00D1F">
              <w:rPr>
                <w:rFonts w:ascii="Arial" w:hAnsi="Arial" w:cs="Arial"/>
              </w:rPr>
              <w:t>СПБ</w:t>
            </w:r>
            <w:r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>
        <w:rPr>
          <w:rFonts w:ascii="Arial" w:hAnsi="Arial" w:cs="Arial"/>
          <w:b/>
        </w:rPr>
        <w:t>СПБ</w:t>
      </w:r>
      <w:r w:rsidRPr="009A73EB">
        <w:rPr>
          <w:rFonts w:ascii="Arial" w:hAnsi="Arial" w:cs="Arial"/>
          <w:b/>
        </w:rPr>
        <w:t xml:space="preserve"> </w:t>
      </w:r>
      <w:r w:rsidR="00F00D1F">
        <w:rPr>
          <w:rFonts w:ascii="Arial" w:hAnsi="Arial" w:cs="Arial"/>
          <w:b/>
        </w:rPr>
        <w:t>Б</w:t>
      </w:r>
      <w:r w:rsidRPr="009A73EB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3D5596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>
        <w:rPr>
          <w:rFonts w:ascii="Arial" w:hAnsi="Arial" w:cs="Arial"/>
        </w:rPr>
        <w:t>Все к</w:t>
      </w:r>
      <w:r w:rsidRPr="009A73EB">
        <w:rPr>
          <w:rFonts w:ascii="Arial" w:hAnsi="Arial" w:cs="Arial"/>
        </w:rPr>
        <w:t>омиссии</w:t>
      </w:r>
      <w:r w:rsidR="00C77D17" w:rsidRPr="009A73EB">
        <w:rPr>
          <w:rFonts w:ascii="Arial" w:hAnsi="Arial" w:cs="Arial"/>
        </w:rPr>
        <w:t xml:space="preserve"> и </w:t>
      </w:r>
      <w:proofErr w:type="gramStart"/>
      <w:r w:rsidR="00C77D17" w:rsidRPr="009A73EB">
        <w:rPr>
          <w:rFonts w:ascii="Arial" w:hAnsi="Arial" w:cs="Arial"/>
        </w:rPr>
        <w:t>сборы, взимаемые третьими лицами с Банка за заключение в интересах и за счет Клиента Договоров на Фондовом рынке подлежат</w:t>
      </w:r>
      <w:proofErr w:type="gramEnd"/>
      <w:r w:rsidR="00C77D17" w:rsidRPr="009A73EB">
        <w:rPr>
          <w:rFonts w:ascii="Arial" w:hAnsi="Arial" w:cs="Arial"/>
        </w:rPr>
        <w:t xml:space="preserve"> возмещению Клиентом</w:t>
      </w:r>
      <w:r>
        <w:rPr>
          <w:rFonts w:ascii="Arial" w:hAnsi="Arial" w:cs="Arial"/>
        </w:rPr>
        <w:t>.</w:t>
      </w:r>
      <w:r w:rsidR="00C77D17" w:rsidRPr="009A73EB">
        <w:rPr>
          <w:rFonts w:ascii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F00D1F">
        <w:rPr>
          <w:rFonts w:ascii="Arial" w:hAnsi="Arial" w:cs="Arial"/>
          <w:b/>
        </w:rPr>
        <w:t>«СПБ Биржа»</w:t>
      </w:r>
      <w:r w:rsidR="00F00D1F" w:rsidRPr="00F00D1F" w:rsidDel="00F00D1F">
        <w:rPr>
          <w:rFonts w:ascii="Arial" w:hAnsi="Arial" w:cs="Arial"/>
          <w:b/>
        </w:rPr>
        <w:t xml:space="preserve"> </w:t>
      </w:r>
      <w:r w:rsidRPr="009A73EB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на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A73E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F00D1F">
        <w:rPr>
          <w:rFonts w:ascii="Arial" w:hAnsi="Arial" w:cs="Arial"/>
          <w:b/>
        </w:rPr>
        <w:t>«СПБ Биржа»</w:t>
      </w:r>
      <w:r w:rsidR="00F00D1F" w:rsidRPr="00F00D1F" w:rsidDel="00F00D1F">
        <w:rPr>
          <w:rFonts w:ascii="Arial" w:hAnsi="Arial" w:cs="Arial"/>
          <w:b/>
        </w:rPr>
        <w:t xml:space="preserve"> </w:t>
      </w:r>
      <w:r w:rsidRPr="009A73EB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3D5596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>
        <w:rPr>
          <w:rFonts w:ascii="Arial" w:hAnsi="Arial" w:cs="Arial"/>
        </w:rPr>
        <w:t>Все к</w:t>
      </w:r>
      <w:r w:rsidRPr="009A73EB">
        <w:rPr>
          <w:rFonts w:ascii="Arial" w:hAnsi="Arial" w:cs="Arial"/>
        </w:rPr>
        <w:t>омиссии</w:t>
      </w:r>
      <w:r w:rsidR="00C77D17" w:rsidRPr="009A73EB">
        <w:rPr>
          <w:rFonts w:ascii="Arial" w:hAnsi="Arial" w:cs="Arial"/>
        </w:rPr>
        <w:t xml:space="preserve"> и </w:t>
      </w:r>
      <w:proofErr w:type="gramStart"/>
      <w:r w:rsidR="00C77D17" w:rsidRPr="009A73EB">
        <w:rPr>
          <w:rFonts w:ascii="Arial" w:hAnsi="Arial" w:cs="Arial"/>
        </w:rPr>
        <w:t>сборы, взимаемые третьими лицами с Банка за заключение в интересах и за счет Клиента Договоров на Фондовом рынке подлежат</w:t>
      </w:r>
      <w:proofErr w:type="gramEnd"/>
      <w:r w:rsidR="00C77D17" w:rsidRPr="009A73EB">
        <w:rPr>
          <w:rFonts w:ascii="Arial" w:hAnsi="Arial" w:cs="Arial"/>
        </w:rPr>
        <w:t xml:space="preserve"> возмещению Клиентом</w:t>
      </w:r>
      <w:r>
        <w:rPr>
          <w:rFonts w:ascii="Arial" w:hAnsi="Arial" w:cs="Arial"/>
        </w:rPr>
        <w:t>.</w:t>
      </w:r>
      <w:r w:rsidR="00C77D17" w:rsidRPr="009A73EB">
        <w:rPr>
          <w:rFonts w:ascii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63956617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63956618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63956619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54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63956620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bookmarkEnd w:id="56"/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7" w:name="_Toc63956621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7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8606D2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серверу FIX ASTS 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  <w:proofErr w:type="gramEnd"/>
          </w:p>
        </w:tc>
      </w:tr>
      <w:tr w:rsidR="007761E7" w:rsidRPr="009A73EB" w:rsidTr="000C6F08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</w:rPr>
              <w:t xml:space="preserve"> логинов</w:t>
            </w:r>
            <w:r>
              <w:rPr>
                <w:rFonts w:ascii="Arial" w:hAnsi="Arial" w:cs="Arial"/>
              </w:rPr>
              <w:t xml:space="preserve"> – 600 руб.</w:t>
            </w:r>
          </w:p>
          <w:p w:rsidR="007761E7" w:rsidRPr="009A73EB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A73EB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7761E7" w:rsidRPr="009A73EB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7761E7" w:rsidRPr="009A73EB" w:rsidRDefault="007761E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7761E7" w:rsidRPr="009A73EB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</w:rPr>
              <w:t xml:space="preserve"> логинов</w:t>
            </w:r>
            <w:r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0130C3">
            <w:pPr>
              <w:pStyle w:val="aa"/>
              <w:rPr>
                <w:rFonts w:ascii="Arial" w:hAnsi="Arial" w:cs="Arial"/>
              </w:rPr>
            </w:pP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А</w:t>
            </w:r>
            <w:proofErr w:type="gram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kern w:val="1"/>
                <w:lang w:eastAsia="en-US"/>
              </w:rPr>
              <w:t>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2400 </w:t>
            </w:r>
            <w:r w:rsidR="007761E7" w:rsidRPr="00C168CC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A73EB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7761E7" w:rsidRPr="009A73EB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просмотра истории </w:t>
            </w:r>
            <w:r w:rsidRPr="009A73EB">
              <w:rPr>
                <w:rFonts w:ascii="Arial" w:hAnsi="Arial" w:cs="Arial"/>
                <w:color w:val="000000"/>
              </w:rPr>
              <w:lastRenderedPageBreak/>
              <w:t>транзакций (DC-GW)</w:t>
            </w:r>
          </w:p>
        </w:tc>
      </w:tr>
      <w:tr w:rsidR="007761E7" w:rsidRPr="009A73EB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2.2.1 и 2.2.2 таблицы, для доступа к шлюзу просмотра истории транзакций</w:t>
            </w:r>
            <w:r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 xml:space="preserve"> логинов</w:t>
            </w:r>
            <w:r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- </w:t>
            </w:r>
            <w:r w:rsidRPr="00C168CC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0130C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7761E7" w:rsidRPr="009A73EB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C168CC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Свыше 5 </w:t>
            </w:r>
            <w:proofErr w:type="spellStart"/>
            <w:proofErr w:type="gramStart"/>
            <w:r w:rsidRPr="00C168CC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168CC">
              <w:rPr>
                <w:rFonts w:ascii="Arial" w:hAnsi="Arial" w:cs="Arial"/>
              </w:rPr>
              <w:t xml:space="preserve"> логинов – 2400 руб.</w:t>
            </w:r>
          </w:p>
          <w:p w:rsidR="007761E7" w:rsidRPr="009A73EB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proofErr w:type="spellStart"/>
      <w:r w:rsidRPr="009A73EB">
        <w:rPr>
          <w:rFonts w:ascii="Arial" w:hAnsi="Arial" w:cs="Arial"/>
          <w:lang w:val="en-US"/>
        </w:rPr>
        <w:t>Inc</w:t>
      </w:r>
      <w:proofErr w:type="spellEnd"/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8" w:name="_Toc494120340"/>
      <w:bookmarkStart w:id="59" w:name="_Toc494120369"/>
      <w:bookmarkStart w:id="60" w:name="_Toc494120397"/>
      <w:bookmarkStart w:id="61" w:name="_Toc494120423"/>
      <w:bookmarkStart w:id="62" w:name="_Toc494120450"/>
      <w:bookmarkStart w:id="63" w:name="_Toc494120993"/>
      <w:bookmarkEnd w:id="58"/>
      <w:bookmarkEnd w:id="59"/>
      <w:bookmarkEnd w:id="60"/>
      <w:bookmarkEnd w:id="61"/>
      <w:bookmarkEnd w:id="62"/>
      <w:bookmarkEnd w:id="63"/>
    </w:p>
    <w:p w:rsidR="007761E7" w:rsidRPr="005904F7" w:rsidRDefault="007761E7" w:rsidP="00B767B2">
      <w:pPr>
        <w:ind w:firstLine="708"/>
        <w:jc w:val="both"/>
        <w:rPr>
          <w:rFonts w:ascii="Arial" w:hAnsi="Arial" w:cs="Arial"/>
        </w:rPr>
      </w:pPr>
      <w:r w:rsidRPr="005904F7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5904F7">
        <w:rPr>
          <w:rFonts w:ascii="Arial" w:hAnsi="Arial" w:cs="Arial"/>
        </w:rPr>
        <w:t>«СПБ Биржа»</w:t>
      </w:r>
      <w:r w:rsidR="00F00D1F" w:rsidRPr="005904F7" w:rsidDel="00F00D1F">
        <w:rPr>
          <w:rFonts w:ascii="Arial" w:hAnsi="Arial" w:cs="Arial"/>
        </w:rPr>
        <w:t xml:space="preserve"> </w:t>
      </w:r>
      <w:r w:rsidRPr="005904F7">
        <w:rPr>
          <w:rFonts w:ascii="Arial" w:hAnsi="Arial" w:cs="Arial"/>
        </w:rPr>
        <w:t xml:space="preserve"> договор о выполнении обязательств </w:t>
      </w:r>
      <w:proofErr w:type="spellStart"/>
      <w:r w:rsidRPr="005904F7">
        <w:rPr>
          <w:rFonts w:ascii="Arial" w:hAnsi="Arial" w:cs="Arial"/>
        </w:rPr>
        <w:t>маркет-мейкера</w:t>
      </w:r>
      <w:proofErr w:type="spellEnd"/>
      <w:r w:rsidRPr="005904F7">
        <w:rPr>
          <w:rFonts w:ascii="Arial" w:hAnsi="Arial" w:cs="Arial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5904F7">
        <w:rPr>
          <w:rFonts w:ascii="Arial" w:hAnsi="Arial" w:cs="Arial"/>
        </w:rPr>
        <w:t>«СПБ Биржа»</w:t>
      </w:r>
      <w:r w:rsidR="00F00D1F" w:rsidRPr="005904F7" w:rsidDel="00F00D1F">
        <w:rPr>
          <w:rFonts w:ascii="Arial" w:hAnsi="Arial" w:cs="Arial"/>
        </w:rPr>
        <w:t xml:space="preserve"> </w:t>
      </w:r>
      <w:r w:rsidRPr="005904F7">
        <w:rPr>
          <w:rFonts w:ascii="Arial" w:hAnsi="Arial" w:cs="Arial"/>
        </w:rPr>
        <w:t>с использованием данного логина.</w:t>
      </w:r>
    </w:p>
    <w:p w:rsidR="00B767B2" w:rsidRPr="007761E7" w:rsidRDefault="00B767B2" w:rsidP="00B767B2">
      <w:pPr>
        <w:ind w:firstLine="708"/>
        <w:jc w:val="both"/>
        <w:rPr>
          <w:rFonts w:ascii="Arial" w:hAnsi="Arial" w:cs="Arial"/>
          <w:color w:val="FF0000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4" w:name="_Toc63956622"/>
      <w:r w:rsidRPr="009A73EB">
        <w:rPr>
          <w:rFonts w:ascii="Arial" w:hAnsi="Arial" w:cs="Arial"/>
          <w:b/>
          <w:i/>
        </w:rPr>
        <w:t>Дополнительные условия:</w:t>
      </w:r>
      <w:bookmarkEnd w:id="64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5" w:name="_Toc63956623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5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  <w:proofErr w:type="gramEnd"/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микрофинансовым</w:t>
      </w:r>
      <w:r w:rsidR="00A16CE7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62450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6" w:name="_Toc63956624"/>
      <w:r w:rsidRPr="0062450B">
        <w:rPr>
          <w:rFonts w:ascii="Arial" w:hAnsi="Arial" w:cs="Arial"/>
          <w:b/>
          <w:i/>
        </w:rPr>
        <w:t xml:space="preserve">Плата за хранение </w:t>
      </w:r>
      <w:r w:rsidR="002C217A" w:rsidRPr="0062450B">
        <w:rPr>
          <w:rFonts w:ascii="Arial" w:hAnsi="Arial" w:cs="Arial"/>
          <w:b/>
          <w:i/>
        </w:rPr>
        <w:t xml:space="preserve">денежных средств в </w:t>
      </w:r>
      <w:r w:rsidRPr="0062450B">
        <w:rPr>
          <w:rFonts w:ascii="Arial" w:hAnsi="Arial" w:cs="Arial"/>
          <w:b/>
          <w:i/>
        </w:rPr>
        <w:t>иностранной валют</w:t>
      </w:r>
      <w:r w:rsidR="002C217A" w:rsidRPr="0062450B">
        <w:rPr>
          <w:rFonts w:ascii="Arial" w:hAnsi="Arial" w:cs="Arial"/>
          <w:b/>
          <w:i/>
        </w:rPr>
        <w:t>е на инвестиционных счетах Клиента</w:t>
      </w:r>
      <w:r w:rsidRPr="0062450B">
        <w:rPr>
          <w:rFonts w:ascii="Arial" w:hAnsi="Arial" w:cs="Arial"/>
          <w:b/>
          <w:i/>
        </w:rPr>
        <w:t>:</w:t>
      </w:r>
      <w:bookmarkEnd w:id="66"/>
    </w:p>
    <w:p w:rsidR="00201B6A" w:rsidRPr="0062450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2450B" w:rsidRPr="0062450B" w:rsidRDefault="0062450B" w:rsidP="0062450B">
      <w:pPr>
        <w:ind w:left="708"/>
        <w:jc w:val="both"/>
        <w:rPr>
          <w:rFonts w:ascii="Arial" w:hAnsi="Arial" w:cs="Arial"/>
        </w:rPr>
      </w:pPr>
      <w:r w:rsidRPr="0062450B">
        <w:rPr>
          <w:rFonts w:ascii="Arial" w:hAnsi="Arial" w:cs="Arial"/>
        </w:rPr>
        <w:t>В случае наличия на Инвестиционных счетах Клиента (далее, Счет) среднемесячного остатка в иностранной валюте Евро (</w:t>
      </w:r>
      <w:r w:rsidRPr="0062450B">
        <w:rPr>
          <w:rFonts w:ascii="Arial" w:hAnsi="Arial" w:cs="Arial"/>
          <w:lang w:val="en-US"/>
        </w:rPr>
        <w:t>EUR</w:t>
      </w:r>
      <w:r w:rsidRPr="0062450B">
        <w:rPr>
          <w:rFonts w:ascii="Arial" w:hAnsi="Arial" w:cs="Arial"/>
        </w:rPr>
        <w:t>) или Швейцарский франк (</w:t>
      </w:r>
      <w:r w:rsidRPr="0062450B">
        <w:rPr>
          <w:rFonts w:ascii="Arial" w:hAnsi="Arial" w:cs="Arial"/>
          <w:lang w:val="en-US"/>
        </w:rPr>
        <w:t>CHF</w:t>
      </w:r>
      <w:r w:rsidRPr="0062450B">
        <w:rPr>
          <w:rFonts w:ascii="Arial" w:hAnsi="Arial" w:cs="Arial"/>
        </w:rPr>
        <w:t xml:space="preserve">) в размере 100 000 EUR или 100 000 </w:t>
      </w:r>
      <w:r w:rsidRPr="0062450B">
        <w:rPr>
          <w:rFonts w:ascii="Arial" w:hAnsi="Arial" w:cs="Arial"/>
          <w:lang w:val="en-US"/>
        </w:rPr>
        <w:t>CHF</w:t>
      </w:r>
      <w:r w:rsidRPr="0062450B">
        <w:rPr>
          <w:rFonts w:ascii="Arial" w:hAnsi="Arial" w:cs="Arial"/>
        </w:rPr>
        <w:t xml:space="preserve">  и более (далее - Условия платы за хранение), Банк взимает с Клиента </w:t>
      </w:r>
      <w:proofErr w:type="gramStart"/>
      <w:r w:rsidRPr="0062450B">
        <w:rPr>
          <w:rFonts w:ascii="Arial" w:hAnsi="Arial" w:cs="Arial"/>
        </w:rPr>
        <w:t>плату</w:t>
      </w:r>
      <w:proofErr w:type="gramEnd"/>
      <w:r w:rsidRPr="0062450B">
        <w:rPr>
          <w:rFonts w:ascii="Arial" w:hAnsi="Arial" w:cs="Arial"/>
        </w:rPr>
        <w:t xml:space="preserve"> рассчитанную по формуле: </w:t>
      </w:r>
    </w:p>
    <w:p w:rsidR="0062450B" w:rsidRPr="0062450B" w:rsidRDefault="0062450B" w:rsidP="0062450B">
      <w:pPr>
        <w:ind w:left="708"/>
        <w:jc w:val="both"/>
        <w:rPr>
          <w:rFonts w:ascii="Arial" w:hAnsi="Arial" w:cs="Arial"/>
          <w:i/>
          <w:iCs/>
          <w:lang w:val="en-US"/>
        </w:rPr>
      </w:pPr>
      <m:oMathPara>
        <m:oMath>
          <m:r>
            <w:rPr>
              <w:rFonts w:ascii="Cambria Math" w:hAnsi="Cambria Math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  <w:lang w:val="en-US"/>
                </w:rPr>
                <m:t>n*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-b</m:t>
                  </m:r>
                </m:e>
              </m:d>
            </m:e>
          </m:nary>
        </m:oMath>
      </m:oMathPara>
    </w:p>
    <w:p w:rsidR="0062450B" w:rsidRPr="0062450B" w:rsidRDefault="0062450B" w:rsidP="0062450B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62450B" w:rsidRPr="0062450B" w:rsidRDefault="0062450B" w:rsidP="0062450B">
      <w:pPr>
        <w:ind w:firstLine="708"/>
        <w:jc w:val="both"/>
        <w:rPr>
          <w:rFonts w:ascii="Arial" w:hAnsi="Arial" w:cs="Arial"/>
        </w:rPr>
      </w:pPr>
      <w:r w:rsidRPr="0062450B">
        <w:rPr>
          <w:rFonts w:ascii="Arial" w:hAnsi="Arial" w:cs="Arial"/>
        </w:rPr>
        <w:t>где:</w:t>
      </w:r>
    </w:p>
    <w:p w:rsidR="0062450B" w:rsidRPr="0062450B" w:rsidRDefault="008606D2" w:rsidP="0062450B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62450B" w:rsidRPr="0062450B">
        <w:rPr>
          <w:rFonts w:ascii="Arial" w:hAnsi="Arial" w:cs="Arial"/>
        </w:rPr>
        <w:t xml:space="preserve"> – размер денежных средств учитываемых на Счетах Клиента по </w:t>
      </w:r>
      <w:proofErr w:type="spellStart"/>
      <w:r w:rsidR="0062450B" w:rsidRPr="0062450B">
        <w:rPr>
          <w:rFonts w:ascii="Arial" w:hAnsi="Arial" w:cs="Arial"/>
          <w:lang w:val="en-US"/>
        </w:rPr>
        <w:t>i</w:t>
      </w:r>
      <w:proofErr w:type="spellEnd"/>
      <w:r w:rsidR="0062450B" w:rsidRPr="0062450B">
        <w:rPr>
          <w:rFonts w:ascii="Arial" w:hAnsi="Arial" w:cs="Arial"/>
        </w:rPr>
        <w:t>-й иностранной валюте на конец каждого календарного дня;</w:t>
      </w:r>
    </w:p>
    <w:p w:rsidR="0062450B" w:rsidRPr="0062450B" w:rsidRDefault="0062450B" w:rsidP="0062450B">
      <w:pPr>
        <w:ind w:firstLine="708"/>
        <w:jc w:val="both"/>
        <w:rPr>
          <w:rFonts w:ascii="Arial" w:hAnsi="Arial" w:cs="Arial"/>
        </w:rPr>
      </w:pPr>
      <w:proofErr w:type="spellStart"/>
      <w:r w:rsidRPr="0062450B">
        <w:rPr>
          <w:rFonts w:ascii="Arial" w:hAnsi="Arial" w:cs="Arial"/>
          <w:i/>
          <w:iCs/>
          <w:lang w:val="en-US"/>
        </w:rPr>
        <w:t>i</w:t>
      </w:r>
      <w:proofErr w:type="spellEnd"/>
      <w:r w:rsidRPr="0062450B">
        <w:rPr>
          <w:rFonts w:ascii="Arial" w:hAnsi="Arial" w:cs="Arial"/>
        </w:rPr>
        <w:t xml:space="preserve"> </w:t>
      </w:r>
      <w:proofErr w:type="gramStart"/>
      <w:r w:rsidRPr="0062450B">
        <w:rPr>
          <w:rFonts w:ascii="Arial" w:hAnsi="Arial" w:cs="Arial"/>
        </w:rPr>
        <w:t>–  валюта</w:t>
      </w:r>
      <w:proofErr w:type="gramEnd"/>
      <w:r w:rsidRPr="0062450B">
        <w:rPr>
          <w:rFonts w:ascii="Arial" w:hAnsi="Arial" w:cs="Arial"/>
        </w:rPr>
        <w:t xml:space="preserve"> Евро (EUR)  либо валюта Швейцарский франк (CHF);</w:t>
      </w:r>
    </w:p>
    <w:p w:rsidR="0062450B" w:rsidRPr="0062450B" w:rsidRDefault="0062450B" w:rsidP="0062450B">
      <w:pPr>
        <w:ind w:firstLine="708"/>
        <w:jc w:val="both"/>
        <w:rPr>
          <w:rFonts w:ascii="Arial" w:hAnsi="Arial" w:cs="Arial"/>
          <w:i/>
          <w:iCs/>
        </w:rPr>
      </w:pPr>
      <w:r w:rsidRPr="0062450B">
        <w:rPr>
          <w:rFonts w:ascii="Arial" w:hAnsi="Arial" w:cs="Arial"/>
          <w:i/>
          <w:iCs/>
          <w:lang w:val="en-US"/>
        </w:rPr>
        <w:t>n</w:t>
      </w:r>
      <w:r w:rsidRPr="0062450B">
        <w:rPr>
          <w:rFonts w:ascii="Arial" w:hAnsi="Arial" w:cs="Arial"/>
          <w:i/>
          <w:iCs/>
        </w:rPr>
        <w:t xml:space="preserve"> – </w:t>
      </w:r>
      <w:proofErr w:type="gramStart"/>
      <w:r w:rsidRPr="0062450B">
        <w:rPr>
          <w:rFonts w:ascii="Arial" w:hAnsi="Arial" w:cs="Arial"/>
        </w:rPr>
        <w:t>количество</w:t>
      </w:r>
      <w:proofErr w:type="gramEnd"/>
      <w:r w:rsidRPr="0062450B">
        <w:rPr>
          <w:rFonts w:ascii="Arial" w:hAnsi="Arial" w:cs="Arial"/>
        </w:rPr>
        <w:t xml:space="preserve"> дней в месяце;</w:t>
      </w:r>
    </w:p>
    <w:p w:rsidR="0062450B" w:rsidRPr="0062450B" w:rsidRDefault="008606D2" w:rsidP="0062450B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62450B" w:rsidRPr="0062450B">
        <w:rPr>
          <w:rFonts w:ascii="Arial" w:hAnsi="Arial" w:cs="Arial"/>
          <w:i/>
          <w:iCs/>
        </w:rPr>
        <w:t xml:space="preserve"> – </w:t>
      </w:r>
      <w:r w:rsidR="0062450B" w:rsidRPr="0062450B">
        <w:rPr>
          <w:rFonts w:ascii="Arial" w:hAnsi="Arial" w:cs="Arial"/>
        </w:rPr>
        <w:t xml:space="preserve">Величина последней опубликованной на дату расчета комиссии ставки ЦБ по </w:t>
      </w:r>
      <w:proofErr w:type="spellStart"/>
      <w:r w:rsidR="0062450B" w:rsidRPr="0062450B">
        <w:rPr>
          <w:rFonts w:ascii="Arial" w:hAnsi="Arial" w:cs="Arial"/>
          <w:lang w:val="en-US"/>
        </w:rPr>
        <w:t>i</w:t>
      </w:r>
      <w:proofErr w:type="spellEnd"/>
      <w:r w:rsidR="0062450B" w:rsidRPr="0062450B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6" w:history="1">
        <w:r w:rsidR="0062450B" w:rsidRPr="0062450B">
          <w:rPr>
            <w:rFonts w:ascii="Arial" w:hAnsi="Arial" w:cs="Arial"/>
          </w:rPr>
          <w:t>https://www.ecb.europa.eu</w:t>
        </w:r>
      </w:hyperlink>
      <w:r w:rsidR="0062450B" w:rsidRPr="0062450B">
        <w:rPr>
          <w:rFonts w:ascii="Arial" w:hAnsi="Arial" w:cs="Arial"/>
        </w:rPr>
        <w:t xml:space="preserve"> и Национальным банком Швейцарии </w:t>
      </w:r>
      <w:hyperlink r:id="rId27" w:history="1">
        <w:r w:rsidR="0062450B" w:rsidRPr="0062450B">
          <w:rPr>
            <w:rFonts w:ascii="Arial" w:hAnsi="Arial" w:cs="Arial"/>
          </w:rPr>
          <w:t>www.snb.ch</w:t>
        </w:r>
      </w:hyperlink>
      <w:r w:rsidR="0062450B" w:rsidRPr="0062450B">
        <w:rPr>
          <w:rFonts w:ascii="Arial" w:hAnsi="Arial" w:cs="Arial"/>
        </w:rPr>
        <w:t xml:space="preserve">. </w:t>
      </w:r>
      <w:bookmarkStart w:id="67" w:name="_GoBack"/>
      <w:bookmarkEnd w:id="67"/>
    </w:p>
    <w:p w:rsidR="0062450B" w:rsidRPr="0062450B" w:rsidRDefault="0062450B" w:rsidP="0062450B">
      <w:pPr>
        <w:ind w:firstLine="708"/>
        <w:jc w:val="both"/>
        <w:rPr>
          <w:rFonts w:ascii="Arial" w:hAnsi="Arial" w:cs="Arial"/>
        </w:rPr>
      </w:pPr>
      <w:r w:rsidRPr="0062450B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2450B" w:rsidRPr="0062450B" w:rsidRDefault="0062450B" w:rsidP="0062450B">
      <w:pPr>
        <w:ind w:firstLine="708"/>
        <w:jc w:val="both"/>
        <w:rPr>
          <w:rFonts w:ascii="Arial" w:hAnsi="Arial" w:cs="Arial"/>
        </w:rPr>
      </w:pPr>
      <w:r w:rsidRPr="0062450B">
        <w:rPr>
          <w:rFonts w:ascii="Arial" w:hAnsi="Arial" w:cs="Arial"/>
          <w:i/>
          <w:iCs/>
          <w:lang w:val="en-US"/>
        </w:rPr>
        <w:lastRenderedPageBreak/>
        <w:t>b</w:t>
      </w:r>
      <w:r w:rsidRPr="0062450B">
        <w:rPr>
          <w:rFonts w:ascii="Arial" w:hAnsi="Arial" w:cs="Arial"/>
        </w:rPr>
        <w:t xml:space="preserve"> – </w:t>
      </w:r>
      <w:proofErr w:type="gramStart"/>
      <w:r w:rsidRPr="0062450B">
        <w:rPr>
          <w:rFonts w:ascii="Arial" w:hAnsi="Arial" w:cs="Arial"/>
        </w:rPr>
        <w:t>величина</w:t>
      </w:r>
      <w:proofErr w:type="gramEnd"/>
      <w:r w:rsidRPr="0062450B">
        <w:rPr>
          <w:rFonts w:ascii="Arial" w:hAnsi="Arial" w:cs="Arial"/>
        </w:rPr>
        <w:t xml:space="preserve"> дисконта равная для валюты Евро (EUR) - 0.6%, для валюты Швейцарский франк (CHF) –0,5%;</w:t>
      </w:r>
    </w:p>
    <w:p w:rsidR="0062450B" w:rsidRPr="0062450B" w:rsidRDefault="0062450B" w:rsidP="0062450B">
      <w:pPr>
        <w:ind w:firstLine="708"/>
        <w:jc w:val="both"/>
        <w:rPr>
          <w:rFonts w:ascii="Arial" w:hAnsi="Arial" w:cs="Arial"/>
        </w:rPr>
      </w:pPr>
      <w:r w:rsidRPr="0062450B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2450B" w:rsidRPr="0062450B" w:rsidRDefault="0062450B" w:rsidP="0062450B">
      <w:pPr>
        <w:ind w:firstLine="708"/>
        <w:jc w:val="both"/>
        <w:rPr>
          <w:rFonts w:ascii="Arial" w:hAnsi="Arial" w:cs="Arial"/>
        </w:rPr>
      </w:pPr>
      <w:r w:rsidRPr="0062450B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2450B" w:rsidRPr="0062450B" w:rsidRDefault="0062450B" w:rsidP="0062450B">
      <w:pPr>
        <w:ind w:firstLine="708"/>
        <w:jc w:val="both"/>
        <w:rPr>
          <w:rFonts w:ascii="Arial" w:hAnsi="Arial" w:cs="Arial"/>
        </w:rPr>
      </w:pPr>
    </w:p>
    <w:p w:rsidR="0062450B" w:rsidRPr="0062450B" w:rsidRDefault="0062450B" w:rsidP="0062450B">
      <w:pPr>
        <w:ind w:firstLine="708"/>
        <w:jc w:val="both"/>
        <w:rPr>
          <w:rFonts w:ascii="Arial" w:hAnsi="Arial" w:cs="Arial"/>
        </w:rPr>
      </w:pPr>
      <w:r w:rsidRPr="0062450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proofErr w:type="gramStart"/>
      <w:r w:rsidRPr="009A73EB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A73EB">
        <w:rPr>
          <w:rFonts w:ascii="Arial" w:hAnsi="Arial" w:cs="Arial"/>
        </w:rPr>
        <w:t xml:space="preserve"> Банка.</w:t>
      </w:r>
    </w:p>
    <w:p w:rsidR="00D87BD4" w:rsidRPr="00D66878" w:rsidRDefault="00C77D17" w:rsidP="00D66878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9" w:name="_Toc63956626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7438E1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</w:t>
      </w:r>
      <w:r w:rsidRPr="00400E03">
        <w:rPr>
          <w:rFonts w:ascii="Arial" w:hAnsi="Arial" w:cs="Arial"/>
          <w:b/>
          <w:bCs/>
          <w:i/>
          <w:iCs/>
        </w:rPr>
        <w:t>третьим лицам</w:t>
      </w:r>
      <w:r>
        <w:rPr>
          <w:rFonts w:ascii="Arial" w:hAnsi="Arial" w:cs="Arial"/>
          <w:b/>
          <w:bCs/>
          <w:i/>
          <w:iCs/>
        </w:rPr>
        <w:t xml:space="preserve"> по письменному запросу </w:t>
      </w:r>
      <w:r w:rsidRPr="00400E03">
        <w:rPr>
          <w:rFonts w:ascii="Arial" w:hAnsi="Arial" w:cs="Arial"/>
          <w:b/>
          <w:bCs/>
          <w:i/>
          <w:iCs/>
        </w:rPr>
        <w:t>клиента</w:t>
      </w:r>
      <w:r>
        <w:rPr>
          <w:rFonts w:ascii="Arial" w:hAnsi="Arial" w:cs="Arial"/>
          <w:b/>
          <w:bCs/>
          <w:i/>
          <w:iCs/>
        </w:rPr>
        <w:t xml:space="preserve"> или третьих лиц (в </w:t>
      </w:r>
      <w:proofErr w:type="spellStart"/>
      <w:r>
        <w:rPr>
          <w:rFonts w:ascii="Arial" w:hAnsi="Arial" w:cs="Arial"/>
          <w:b/>
          <w:bCs/>
          <w:i/>
          <w:iCs/>
        </w:rPr>
        <w:t>т.ч</w:t>
      </w:r>
      <w:proofErr w:type="spellEnd"/>
      <w:r>
        <w:rPr>
          <w:rFonts w:ascii="Arial" w:hAnsi="Arial" w:cs="Arial"/>
          <w:b/>
          <w:bCs/>
          <w:i/>
          <w:iCs/>
        </w:rPr>
        <w:t>. по запросу аудиторских компаний)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7438E1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A73EB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A73EB" w:rsidSect="00A70C9D">
      <w:footerReference w:type="default" r:id="rId28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D2" w:rsidRDefault="008606D2" w:rsidP="00C504CD">
      <w:r>
        <w:separator/>
      </w:r>
    </w:p>
  </w:endnote>
  <w:endnote w:type="continuationSeparator" w:id="0">
    <w:p w:rsidR="008606D2" w:rsidRDefault="008606D2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00E03" w:rsidRDefault="0019230D">
        <w:pPr>
          <w:pStyle w:val="af8"/>
          <w:jc w:val="right"/>
        </w:pPr>
        <w:r>
          <w:fldChar w:fldCharType="begin"/>
        </w:r>
        <w:r w:rsidR="00012529">
          <w:instrText>PAGE   \* MERGEFORMAT</w:instrText>
        </w:r>
        <w:r>
          <w:fldChar w:fldCharType="separate"/>
        </w:r>
        <w:r w:rsidR="00090F3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00E03" w:rsidRDefault="00400E0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D2" w:rsidRDefault="008606D2" w:rsidP="00C504CD">
      <w:r>
        <w:separator/>
      </w:r>
    </w:p>
  </w:footnote>
  <w:footnote w:type="continuationSeparator" w:id="0">
    <w:p w:rsidR="008606D2" w:rsidRDefault="008606D2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12529"/>
    <w:rsid w:val="0002460E"/>
    <w:rsid w:val="00035BB0"/>
    <w:rsid w:val="0003718F"/>
    <w:rsid w:val="000549BA"/>
    <w:rsid w:val="00057A2F"/>
    <w:rsid w:val="00067979"/>
    <w:rsid w:val="00081529"/>
    <w:rsid w:val="00090F3B"/>
    <w:rsid w:val="000B27D3"/>
    <w:rsid w:val="000D310C"/>
    <w:rsid w:val="000E0C25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03A5A"/>
    <w:rsid w:val="003125A5"/>
    <w:rsid w:val="00324758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86FE7"/>
    <w:rsid w:val="005904F7"/>
    <w:rsid w:val="005A55DA"/>
    <w:rsid w:val="005A58DA"/>
    <w:rsid w:val="005A6313"/>
    <w:rsid w:val="005B1570"/>
    <w:rsid w:val="005C1753"/>
    <w:rsid w:val="005C646E"/>
    <w:rsid w:val="005C7E28"/>
    <w:rsid w:val="005E647E"/>
    <w:rsid w:val="006170B4"/>
    <w:rsid w:val="0062450B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3F3F"/>
    <w:rsid w:val="00956CF0"/>
    <w:rsid w:val="00962EFD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076E6"/>
    <w:rsid w:val="00B17345"/>
    <w:rsid w:val="00B2673C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168CC"/>
    <w:rsid w:val="00C22DA1"/>
    <w:rsid w:val="00C3111E"/>
    <w:rsid w:val="00C3179A"/>
    <w:rsid w:val="00C330A4"/>
    <w:rsid w:val="00C41FAA"/>
    <w:rsid w:val="00C504CD"/>
    <w:rsid w:val="00C56F27"/>
    <w:rsid w:val="00C77D17"/>
    <w:rsid w:val="00C863E1"/>
    <w:rsid w:val="00CA08E5"/>
    <w:rsid w:val="00CA34B0"/>
    <w:rsid w:val="00CA5145"/>
    <w:rsid w:val="00CB2F2A"/>
    <w:rsid w:val="00CB727E"/>
    <w:rsid w:val="00CD396B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3635A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0D1F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ecb.europa.e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hyperlink" Target="http://www.snb.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2D067-0387-458F-A556-DF4FFF0A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3</cp:revision>
  <cp:lastPrinted>2017-09-22T08:28:00Z</cp:lastPrinted>
  <dcterms:created xsi:type="dcterms:W3CDTF">2021-08-02T10:02:00Z</dcterms:created>
  <dcterms:modified xsi:type="dcterms:W3CDTF">2021-08-20T08:31:00Z</dcterms:modified>
</cp:coreProperties>
</file>