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54" w:rsidRPr="00435A03" w:rsidRDefault="00E85654" w:rsidP="00E85654">
      <w:pPr>
        <w:jc w:val="right"/>
        <w:rPr>
          <w:rFonts w:ascii="Arial" w:hAnsi="Arial" w:cs="Arial"/>
          <w:i/>
        </w:rPr>
      </w:pPr>
      <w:bookmarkStart w:id="0" w:name="_GoBack"/>
      <w:r w:rsidRPr="00435A03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9</w:t>
      </w:r>
    </w:p>
    <w:p w:rsidR="00E85654" w:rsidRPr="00435A03" w:rsidRDefault="00E85654" w:rsidP="00E85654">
      <w:pPr>
        <w:jc w:val="right"/>
        <w:rPr>
          <w:rFonts w:ascii="Arial" w:hAnsi="Arial" w:cs="Arial"/>
          <w:i/>
        </w:rPr>
      </w:pPr>
      <w:r w:rsidRPr="00435A03">
        <w:rPr>
          <w:rFonts w:ascii="Arial" w:hAnsi="Arial" w:cs="Arial"/>
          <w:i/>
        </w:rPr>
        <w:t xml:space="preserve">к Регламенту оказания услуг на финансовых рынках </w:t>
      </w:r>
    </w:p>
    <w:p w:rsidR="00E85654" w:rsidRDefault="00E85654" w:rsidP="00E85654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«АЛОР БАНК»</w:t>
      </w:r>
      <w:r w:rsidRPr="00435A03">
        <w:rPr>
          <w:rFonts w:ascii="Arial" w:hAnsi="Arial" w:cs="Arial"/>
          <w:i/>
        </w:rPr>
        <w:t xml:space="preserve"> (ОАО)</w:t>
      </w:r>
    </w:p>
    <w:p w:rsidR="001D4D70" w:rsidRPr="00173B95" w:rsidRDefault="001D4D70" w:rsidP="001D4D70">
      <w:pPr>
        <w:pStyle w:val="a3"/>
        <w:tabs>
          <w:tab w:val="clear" w:pos="2160"/>
        </w:tabs>
        <w:ind w:left="0" w:firstLine="284"/>
        <w:jc w:val="center"/>
        <w:rPr>
          <w:rFonts w:ascii="Arial" w:hAnsi="Arial" w:cs="Arial"/>
          <w:b/>
          <w:sz w:val="28"/>
          <w:szCs w:val="28"/>
        </w:rPr>
      </w:pPr>
      <w:r w:rsidRPr="00173B95">
        <w:rPr>
          <w:rFonts w:ascii="Arial" w:hAnsi="Arial" w:cs="Arial"/>
          <w:b/>
          <w:sz w:val="28"/>
          <w:szCs w:val="28"/>
        </w:rPr>
        <w:t>Декларация о рисках</w:t>
      </w:r>
    </w:p>
    <w:p w:rsidR="001D4D70" w:rsidRPr="00337B86" w:rsidRDefault="001D4D70" w:rsidP="001D4D70">
      <w:pPr>
        <w:pStyle w:val="a3"/>
        <w:tabs>
          <w:tab w:val="clear" w:pos="2160"/>
        </w:tabs>
        <w:ind w:left="0" w:firstLine="284"/>
        <w:rPr>
          <w:rFonts w:ascii="Arial" w:hAnsi="Arial" w:cs="Arial"/>
        </w:rPr>
      </w:pPr>
      <w:r w:rsidRPr="00337B86">
        <w:rPr>
          <w:rFonts w:ascii="Arial" w:hAnsi="Arial" w:cs="Arial"/>
        </w:rPr>
        <w:t xml:space="preserve">Подписанием настоящей Декларации о рисках (далее – Декларация) Клиент принимает на себя все возможные риски, связанные с осуществлением операций на </w:t>
      </w:r>
      <w:r w:rsidR="003351B0">
        <w:rPr>
          <w:rFonts w:ascii="Arial" w:hAnsi="Arial" w:cs="Arial"/>
        </w:rPr>
        <w:t>Ф</w:t>
      </w:r>
      <w:r w:rsidR="003351B0" w:rsidRPr="00337B86">
        <w:rPr>
          <w:rFonts w:ascii="Arial" w:hAnsi="Arial" w:cs="Arial"/>
        </w:rPr>
        <w:t>ондовом</w:t>
      </w:r>
      <w:r w:rsidRPr="00337B86">
        <w:rPr>
          <w:rFonts w:ascii="Arial" w:hAnsi="Arial" w:cs="Arial"/>
        </w:rPr>
        <w:t>,</w:t>
      </w:r>
      <w:r w:rsidR="00F13859">
        <w:rPr>
          <w:rFonts w:ascii="Arial" w:hAnsi="Arial" w:cs="Arial"/>
        </w:rPr>
        <w:t xml:space="preserve"> </w:t>
      </w:r>
      <w:r w:rsidR="003351B0">
        <w:rPr>
          <w:rFonts w:ascii="Arial" w:hAnsi="Arial" w:cs="Arial"/>
        </w:rPr>
        <w:t>В</w:t>
      </w:r>
      <w:r w:rsidR="003351B0" w:rsidRPr="00337B86">
        <w:rPr>
          <w:rFonts w:ascii="Arial" w:hAnsi="Arial" w:cs="Arial"/>
        </w:rPr>
        <w:t>алютном</w:t>
      </w:r>
      <w:r w:rsidR="003351B0">
        <w:rPr>
          <w:rFonts w:ascii="Arial" w:hAnsi="Arial" w:cs="Arial"/>
        </w:rPr>
        <w:t>,</w:t>
      </w:r>
      <w:r w:rsidR="00F13859"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 xml:space="preserve"> </w:t>
      </w:r>
      <w:r w:rsidR="003351B0">
        <w:rPr>
          <w:rFonts w:ascii="Arial" w:hAnsi="Arial" w:cs="Arial"/>
        </w:rPr>
        <w:t>С</w:t>
      </w:r>
      <w:r w:rsidR="003351B0" w:rsidRPr="00337B86">
        <w:rPr>
          <w:rFonts w:ascii="Arial" w:hAnsi="Arial" w:cs="Arial"/>
        </w:rPr>
        <w:t xml:space="preserve">рочном </w:t>
      </w:r>
      <w:r w:rsidR="003351B0">
        <w:rPr>
          <w:rFonts w:ascii="Arial" w:hAnsi="Arial" w:cs="Arial"/>
        </w:rPr>
        <w:t xml:space="preserve">и Внебиржевом </w:t>
      </w:r>
      <w:r w:rsidR="003351B0" w:rsidRPr="00337B86">
        <w:rPr>
          <w:rFonts w:ascii="Arial" w:hAnsi="Arial" w:cs="Arial"/>
        </w:rPr>
        <w:t>рынк</w:t>
      </w:r>
      <w:r w:rsidR="003351B0">
        <w:rPr>
          <w:rFonts w:ascii="Arial" w:hAnsi="Arial" w:cs="Arial"/>
        </w:rPr>
        <w:t>ах</w:t>
      </w:r>
      <w:r w:rsidRPr="00337B86">
        <w:rPr>
          <w:rFonts w:ascii="Arial" w:hAnsi="Arial" w:cs="Arial"/>
        </w:rPr>
        <w:t>, а</w:t>
      </w:r>
      <w:r w:rsidR="00F13859"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«АЛОР Б</w:t>
      </w:r>
      <w:r w:rsidR="00353E08">
        <w:rPr>
          <w:rFonts w:ascii="Arial" w:hAnsi="Arial" w:cs="Arial"/>
        </w:rPr>
        <w:t>АНК</w:t>
      </w:r>
      <w:r w:rsidRPr="00337B86">
        <w:rPr>
          <w:rFonts w:ascii="Arial" w:hAnsi="Arial" w:cs="Arial"/>
        </w:rPr>
        <w:t>»</w:t>
      </w:r>
      <w:r w:rsidR="00841282">
        <w:rPr>
          <w:rFonts w:ascii="Arial" w:hAnsi="Arial" w:cs="Arial"/>
        </w:rPr>
        <w:t xml:space="preserve"> (ОАО)</w:t>
      </w:r>
      <w:r w:rsidRPr="00337B86">
        <w:rPr>
          <w:rFonts w:ascii="Arial" w:hAnsi="Arial" w:cs="Arial"/>
        </w:rPr>
        <w:t xml:space="preserve"> (далее -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Банк) подтверждает доведение до сведения Клиента информац</w:t>
      </w:r>
      <w:proofErr w:type="gramStart"/>
      <w:r w:rsidRPr="00337B86">
        <w:rPr>
          <w:rFonts w:ascii="Arial" w:hAnsi="Arial" w:cs="Arial"/>
        </w:rPr>
        <w:t>ии о е</w:t>
      </w:r>
      <w:proofErr w:type="gramEnd"/>
      <w:r w:rsidRPr="00337B86">
        <w:rPr>
          <w:rFonts w:ascii="Arial" w:hAnsi="Arial" w:cs="Arial"/>
        </w:rPr>
        <w:t>го рисках, связанных с осуществлением операций на фондовом, валютном</w:t>
      </w:r>
      <w:r w:rsidR="00F13859"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и срочном рынке.</w:t>
      </w:r>
    </w:p>
    <w:p w:rsidR="001D4D70" w:rsidRPr="00337B86" w:rsidRDefault="001D4D70" w:rsidP="001D4D70">
      <w:pPr>
        <w:pStyle w:val="a3"/>
        <w:tabs>
          <w:tab w:val="clear" w:pos="2160"/>
        </w:tabs>
        <w:ind w:left="0" w:firstLine="284"/>
        <w:rPr>
          <w:rFonts w:ascii="Arial" w:hAnsi="Arial" w:cs="Arial"/>
        </w:rPr>
      </w:pPr>
      <w:r w:rsidRPr="00337B86">
        <w:rPr>
          <w:rFonts w:ascii="Arial" w:hAnsi="Arial" w:cs="Arial"/>
        </w:rPr>
        <w:t>Цель Декларации - предоставить Клиенту информацию о рисках, связанных с осуществлением операций на рынке ценных бумаг, иностранной валюты и срочном рынке, и предупредить о возможных потерях при осуществлении операций на данных рынках.</w:t>
      </w:r>
    </w:p>
    <w:p w:rsidR="001D4D70" w:rsidRPr="00337B86" w:rsidRDefault="001D4D70" w:rsidP="001D4D70">
      <w:pPr>
        <w:pStyle w:val="a3"/>
        <w:tabs>
          <w:tab w:val="clear" w:pos="2160"/>
        </w:tabs>
        <w:ind w:left="0" w:firstLine="284"/>
        <w:rPr>
          <w:rFonts w:ascii="Arial" w:hAnsi="Arial" w:cs="Arial"/>
        </w:rPr>
      </w:pPr>
      <w:r w:rsidRPr="00337B86">
        <w:rPr>
          <w:rFonts w:ascii="Arial" w:hAnsi="Arial" w:cs="Arial"/>
        </w:rPr>
        <w:t>Декларация не раскрывает информации о всех рисках вследствие разнообразия ситуаций, возникающих на рынке ценных бумаг, валютном и срочном рынке. При работе на рынке ценных бумаг, валютном и срочном рынке Клиент неизбежно сталкивается с необходимостью учитывать факторы риска самого различного свойства. Ниже перечислены некоторые из них, разделенные по различным основаниям.</w:t>
      </w:r>
    </w:p>
    <w:p w:rsidR="001D4D70" w:rsidRPr="00337B86" w:rsidRDefault="001D4D70" w:rsidP="001D4D70">
      <w:pPr>
        <w:pStyle w:val="a3"/>
        <w:tabs>
          <w:tab w:val="clear" w:pos="2160"/>
        </w:tabs>
        <w:ind w:left="0" w:firstLine="284"/>
        <w:rPr>
          <w:rFonts w:ascii="Arial" w:hAnsi="Arial" w:cs="Arial"/>
        </w:rPr>
      </w:pPr>
    </w:p>
    <w:p w:rsidR="001D4D70" w:rsidRPr="00337B86" w:rsidRDefault="001D4D70" w:rsidP="001D4D70">
      <w:pPr>
        <w:pStyle w:val="a3"/>
        <w:numPr>
          <w:ilvl w:val="0"/>
          <w:numId w:val="1"/>
        </w:numPr>
        <w:rPr>
          <w:rFonts w:ascii="Arial" w:hAnsi="Arial" w:cs="Arial"/>
          <w:i/>
        </w:rPr>
      </w:pPr>
      <w:r w:rsidRPr="00337B86">
        <w:rPr>
          <w:rFonts w:ascii="Arial" w:hAnsi="Arial" w:cs="Arial"/>
          <w:i/>
        </w:rPr>
        <w:t>По источникам рисков:</w:t>
      </w:r>
    </w:p>
    <w:p w:rsidR="001D4D70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337B86">
        <w:rPr>
          <w:rFonts w:ascii="Arial" w:hAnsi="Arial" w:cs="Arial"/>
          <w:b/>
        </w:rPr>
        <w:t>системный риск (рыночный)</w:t>
      </w:r>
      <w:r w:rsidRPr="00337B86">
        <w:rPr>
          <w:rFonts w:ascii="Arial" w:hAnsi="Arial" w:cs="Arial"/>
        </w:rPr>
        <w:t xml:space="preserve"> – риск, связанный с функционированием системы в целом, будь то банковская система, депозитарная система, система торговли, система клиринга, рынок ценных бумаг как система, и прочие системы, влияющие каким-то образом на деятельность на финансовых рынках. </w:t>
      </w:r>
    </w:p>
    <w:p w:rsidR="001D4D70" w:rsidRPr="00337B86" w:rsidRDefault="001D4D70" w:rsidP="001D4D70">
      <w:pPr>
        <w:pStyle w:val="a3"/>
        <w:tabs>
          <w:tab w:val="clear" w:pos="2160"/>
        </w:tabs>
        <w:ind w:left="1276" w:firstLine="0"/>
        <w:rPr>
          <w:rFonts w:ascii="Arial" w:hAnsi="Arial" w:cs="Arial"/>
        </w:rPr>
      </w:pPr>
      <w:r w:rsidRPr="00337B86">
        <w:rPr>
          <w:rFonts w:ascii="Arial" w:hAnsi="Arial" w:cs="Arial"/>
        </w:rPr>
        <w:t>Таким образом, работая на финансовом рынке, Вы изначально подвергаетесь системному риску, уровень которого можно считать неснижаемым (по крайней мере, путем диверсификации) при любых Ваших вложениях в ценные бумаги, иностранную валюту и/или срочные контракты.</w:t>
      </w:r>
    </w:p>
    <w:p w:rsidR="001D4D70" w:rsidRPr="00337B86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337B86">
        <w:rPr>
          <w:rFonts w:ascii="Arial" w:hAnsi="Arial" w:cs="Arial"/>
          <w:b/>
        </w:rPr>
        <w:t>несистемный (специфический) риск</w:t>
      </w:r>
      <w:r w:rsidRPr="00337B86">
        <w:rPr>
          <w:rFonts w:ascii="Arial" w:hAnsi="Arial" w:cs="Arial"/>
        </w:rPr>
        <w:t xml:space="preserve"> – риск конкретного участника финансового рынка: клиента, Банка, доверительного управляющего, торговой площадки, депозитария, банка, эмитента, регуляторов рынка ценных бумаг, прочие. Данный вид рисков может быть уменьшен путем диверсификации.</w:t>
      </w:r>
      <w:r>
        <w:rPr>
          <w:rFonts w:ascii="Arial" w:hAnsi="Arial" w:cs="Arial"/>
        </w:rPr>
        <w:t xml:space="preserve"> </w:t>
      </w:r>
    </w:p>
    <w:p w:rsidR="001D4D70" w:rsidRPr="002E1691" w:rsidRDefault="001D4D70" w:rsidP="001D4D70">
      <w:pPr>
        <w:pStyle w:val="a3"/>
        <w:tabs>
          <w:tab w:val="clear" w:pos="2160"/>
          <w:tab w:val="num" w:pos="851"/>
        </w:tabs>
        <w:ind w:left="851" w:firstLine="284"/>
        <w:rPr>
          <w:rFonts w:ascii="Arial" w:hAnsi="Arial" w:cs="Arial"/>
        </w:rPr>
      </w:pPr>
      <w:r w:rsidRPr="002E1691">
        <w:rPr>
          <w:rFonts w:ascii="Arial" w:hAnsi="Arial" w:cs="Arial"/>
        </w:rPr>
        <w:t>В группе основных рисков эмитента можно выделить:</w:t>
      </w:r>
    </w:p>
    <w:p w:rsidR="001D4D70" w:rsidRPr="002E1691" w:rsidRDefault="001D4D70" w:rsidP="001D4D70">
      <w:pPr>
        <w:pStyle w:val="a3"/>
        <w:tabs>
          <w:tab w:val="clear" w:pos="2160"/>
          <w:tab w:val="num" w:pos="1418"/>
        </w:tabs>
        <w:ind w:left="1418" w:firstLine="0"/>
        <w:rPr>
          <w:rFonts w:ascii="Arial" w:hAnsi="Arial" w:cs="Arial"/>
        </w:rPr>
      </w:pPr>
      <w:r w:rsidRPr="002E1691">
        <w:rPr>
          <w:rFonts w:ascii="Arial" w:hAnsi="Arial" w:cs="Arial"/>
          <w:i/>
        </w:rPr>
        <w:t>инструментальный риск</w:t>
      </w:r>
      <w:r w:rsidRPr="002E1691">
        <w:rPr>
          <w:rFonts w:ascii="Arial" w:hAnsi="Arial" w:cs="Arial"/>
        </w:rPr>
        <w:t xml:space="preserve"> – определяется классом используемых инструментов (активов): акции,</w:t>
      </w:r>
      <w:r>
        <w:rPr>
          <w:rFonts w:ascii="Arial" w:hAnsi="Arial" w:cs="Arial"/>
        </w:rPr>
        <w:t xml:space="preserve"> </w:t>
      </w:r>
      <w:r w:rsidRPr="002E1691">
        <w:rPr>
          <w:rFonts w:ascii="Arial" w:hAnsi="Arial" w:cs="Arial"/>
        </w:rPr>
        <w:t>облигации или денежные активы. По отношению к облигациям и инструментам денежного</w:t>
      </w:r>
      <w:r>
        <w:rPr>
          <w:rFonts w:ascii="Arial" w:hAnsi="Arial" w:cs="Arial"/>
        </w:rPr>
        <w:t xml:space="preserve"> </w:t>
      </w:r>
      <w:r w:rsidRPr="002E1691">
        <w:rPr>
          <w:rFonts w:ascii="Arial" w:hAnsi="Arial" w:cs="Arial"/>
        </w:rPr>
        <w:t>рынка акции представляют собой более рискованный инструмент. Риск и, следовательно,</w:t>
      </w:r>
      <w:r>
        <w:rPr>
          <w:rFonts w:ascii="Arial" w:hAnsi="Arial" w:cs="Arial"/>
        </w:rPr>
        <w:t xml:space="preserve"> </w:t>
      </w:r>
      <w:r w:rsidRPr="002E1691">
        <w:rPr>
          <w:rFonts w:ascii="Arial" w:hAnsi="Arial" w:cs="Arial"/>
        </w:rPr>
        <w:t>размах колебаний по этому классу активов может быть весьма существенным.</w:t>
      </w:r>
      <w:r>
        <w:rPr>
          <w:rFonts w:ascii="Arial" w:hAnsi="Arial" w:cs="Arial"/>
        </w:rPr>
        <w:t xml:space="preserve"> </w:t>
      </w:r>
      <w:r w:rsidRPr="002E1691">
        <w:rPr>
          <w:rFonts w:ascii="Arial" w:hAnsi="Arial" w:cs="Arial"/>
        </w:rPr>
        <w:t>Инструментальный риск может быть диверсифицирован путем покупки инструментов,</w:t>
      </w:r>
      <w:r>
        <w:rPr>
          <w:rFonts w:ascii="Arial" w:hAnsi="Arial" w:cs="Arial"/>
        </w:rPr>
        <w:t xml:space="preserve"> </w:t>
      </w:r>
      <w:r w:rsidRPr="002E1691">
        <w:rPr>
          <w:rFonts w:ascii="Arial" w:hAnsi="Arial" w:cs="Arial"/>
        </w:rPr>
        <w:t>представленных разными классами активов;</w:t>
      </w:r>
    </w:p>
    <w:p w:rsidR="001D4D70" w:rsidRPr="002E1691" w:rsidRDefault="001D4D70" w:rsidP="001D4D70">
      <w:pPr>
        <w:pStyle w:val="a3"/>
        <w:tabs>
          <w:tab w:val="clear" w:pos="2160"/>
          <w:tab w:val="num" w:pos="1418"/>
        </w:tabs>
        <w:ind w:left="1418" w:firstLine="0"/>
        <w:rPr>
          <w:rFonts w:ascii="Arial" w:hAnsi="Arial" w:cs="Arial"/>
        </w:rPr>
      </w:pPr>
      <w:r w:rsidRPr="002E1691">
        <w:rPr>
          <w:rFonts w:ascii="Arial" w:hAnsi="Arial" w:cs="Arial"/>
          <w:i/>
        </w:rPr>
        <w:t>отраслевой риск</w:t>
      </w:r>
      <w:r w:rsidRPr="002E1691">
        <w:rPr>
          <w:rFonts w:ascii="Arial" w:hAnsi="Arial" w:cs="Arial"/>
        </w:rPr>
        <w:t xml:space="preserve"> – связан с особенностями колебаний отдачи финансовых инструментов в</w:t>
      </w:r>
      <w:r>
        <w:rPr>
          <w:rFonts w:ascii="Arial" w:hAnsi="Arial" w:cs="Arial"/>
        </w:rPr>
        <w:t xml:space="preserve"> </w:t>
      </w:r>
      <w:r w:rsidRPr="002E1691">
        <w:rPr>
          <w:rFonts w:ascii="Arial" w:hAnsi="Arial" w:cs="Arial"/>
        </w:rPr>
        <w:t xml:space="preserve">конкретных отраслях. Может быть нивелирован путем диверсификации портфеля </w:t>
      </w:r>
      <w:r>
        <w:rPr>
          <w:rFonts w:ascii="Arial" w:hAnsi="Arial" w:cs="Arial"/>
        </w:rPr>
        <w:t>–</w:t>
      </w:r>
      <w:r w:rsidRPr="002E1691">
        <w:rPr>
          <w:rFonts w:ascii="Arial" w:hAnsi="Arial" w:cs="Arial"/>
        </w:rPr>
        <w:t xml:space="preserve"> вложением</w:t>
      </w:r>
      <w:r>
        <w:rPr>
          <w:rFonts w:ascii="Arial" w:hAnsi="Arial" w:cs="Arial"/>
        </w:rPr>
        <w:t xml:space="preserve"> </w:t>
      </w:r>
      <w:r w:rsidRPr="002E1691">
        <w:rPr>
          <w:rFonts w:ascii="Arial" w:hAnsi="Arial" w:cs="Arial"/>
        </w:rPr>
        <w:t>инвестиций одновременно в разные сектора экономики;</w:t>
      </w:r>
    </w:p>
    <w:p w:rsidR="001D4D70" w:rsidRPr="002E1691" w:rsidRDefault="001D4D70" w:rsidP="004447AB">
      <w:pPr>
        <w:pStyle w:val="a3"/>
        <w:tabs>
          <w:tab w:val="num" w:pos="1418"/>
        </w:tabs>
        <w:ind w:left="1418" w:firstLine="0"/>
        <w:rPr>
          <w:rFonts w:ascii="Arial" w:hAnsi="Arial" w:cs="Arial"/>
        </w:rPr>
      </w:pPr>
      <w:r w:rsidRPr="002E1691">
        <w:rPr>
          <w:rFonts w:ascii="Arial" w:hAnsi="Arial" w:cs="Arial"/>
          <w:i/>
        </w:rPr>
        <w:t>риск регистратора</w:t>
      </w:r>
      <w:r w:rsidRPr="002E1691">
        <w:rPr>
          <w:rFonts w:ascii="Arial" w:hAnsi="Arial" w:cs="Arial"/>
        </w:rPr>
        <w:t xml:space="preserve"> – риск вложения сре</w:t>
      </w:r>
      <w:proofErr w:type="gramStart"/>
      <w:r w:rsidRPr="002E1691">
        <w:rPr>
          <w:rFonts w:ascii="Arial" w:hAnsi="Arial" w:cs="Arial"/>
        </w:rPr>
        <w:t>дств в ц</w:t>
      </w:r>
      <w:proofErr w:type="gramEnd"/>
      <w:r w:rsidRPr="002E1691">
        <w:rPr>
          <w:rFonts w:ascii="Arial" w:hAnsi="Arial" w:cs="Arial"/>
        </w:rPr>
        <w:t>енные бумаги эмитента, у которого заключен</w:t>
      </w:r>
      <w:r w:rsidR="004447AB">
        <w:rPr>
          <w:rFonts w:ascii="Arial" w:hAnsi="Arial" w:cs="Arial"/>
        </w:rPr>
        <w:t xml:space="preserve"> </w:t>
      </w:r>
      <w:r w:rsidR="004447AB" w:rsidRPr="004447AB">
        <w:rPr>
          <w:rFonts w:ascii="Arial" w:hAnsi="Arial" w:cs="Arial"/>
        </w:rPr>
        <w:t>договор на обслуживание с конкретным регистратором</w:t>
      </w:r>
      <w:r>
        <w:rPr>
          <w:rFonts w:ascii="Arial" w:hAnsi="Arial" w:cs="Arial"/>
        </w:rPr>
        <w:t>.</w:t>
      </w:r>
    </w:p>
    <w:p w:rsidR="001D4D70" w:rsidRPr="002E1691" w:rsidRDefault="001D4D70" w:rsidP="001D4D70">
      <w:pPr>
        <w:pStyle w:val="a3"/>
        <w:numPr>
          <w:ilvl w:val="0"/>
          <w:numId w:val="1"/>
        </w:numPr>
        <w:rPr>
          <w:rFonts w:ascii="Arial" w:hAnsi="Arial" w:cs="Arial"/>
          <w:i/>
        </w:rPr>
      </w:pPr>
      <w:r w:rsidRPr="002E1691">
        <w:rPr>
          <w:rFonts w:ascii="Arial" w:hAnsi="Arial" w:cs="Arial"/>
          <w:i/>
        </w:rPr>
        <w:t>По экономическим последствиям для Клиента:</w:t>
      </w:r>
    </w:p>
    <w:p w:rsidR="001D4D70" w:rsidRPr="002E1691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E1691">
        <w:rPr>
          <w:rFonts w:ascii="Arial" w:hAnsi="Arial" w:cs="Arial"/>
          <w:b/>
        </w:rPr>
        <w:t>риск потери дохода</w:t>
      </w:r>
      <w:r w:rsidRPr="002E1691">
        <w:rPr>
          <w:rFonts w:ascii="Arial" w:hAnsi="Arial" w:cs="Arial"/>
        </w:rPr>
        <w:t xml:space="preserve"> – возможность наступления события, которое влечет за собой частичную или полную потерю ожидаемого дохода от инвестиций;</w:t>
      </w:r>
    </w:p>
    <w:p w:rsidR="001D4D70" w:rsidRPr="00337B86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E1691">
        <w:rPr>
          <w:rFonts w:ascii="Arial" w:hAnsi="Arial" w:cs="Arial"/>
          <w:b/>
        </w:rPr>
        <w:t>риск потери инвестируемых средств</w:t>
      </w:r>
      <w:r w:rsidRPr="00337B86">
        <w:rPr>
          <w:rFonts w:ascii="Arial" w:hAnsi="Arial" w:cs="Arial"/>
        </w:rPr>
        <w:t xml:space="preserve"> – возможность наступления события, которое влечет за собой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частичную или полную потерю инвестируемых средств;</w:t>
      </w:r>
    </w:p>
    <w:p w:rsidR="001D4D70" w:rsidRPr="00337B86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E1691">
        <w:rPr>
          <w:rFonts w:ascii="Arial" w:hAnsi="Arial" w:cs="Arial"/>
          <w:b/>
        </w:rPr>
        <w:t>риск потерь, превышающих инвестируемую сумму</w:t>
      </w:r>
      <w:r w:rsidRPr="00337B86">
        <w:rPr>
          <w:rFonts w:ascii="Arial" w:hAnsi="Arial" w:cs="Arial"/>
        </w:rPr>
        <w:t xml:space="preserve"> - возможность наступления события, которое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влечет за собой не только полную потерю ожидаемого дохода и инвестируемых средств, но и потери,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превышающие инвестируемую сумму.</w:t>
      </w:r>
    </w:p>
    <w:p w:rsidR="001D4D70" w:rsidRPr="002E1691" w:rsidRDefault="001D4D70" w:rsidP="001D4D70">
      <w:pPr>
        <w:pStyle w:val="a3"/>
        <w:numPr>
          <w:ilvl w:val="0"/>
          <w:numId w:val="1"/>
        </w:numPr>
        <w:rPr>
          <w:rFonts w:ascii="Arial" w:hAnsi="Arial" w:cs="Arial"/>
          <w:i/>
        </w:rPr>
      </w:pPr>
      <w:r w:rsidRPr="002E1691">
        <w:rPr>
          <w:rFonts w:ascii="Arial" w:hAnsi="Arial" w:cs="Arial"/>
          <w:i/>
        </w:rPr>
        <w:lastRenderedPageBreak/>
        <w:t>По связи Клиента с источником риска:</w:t>
      </w:r>
    </w:p>
    <w:p w:rsidR="001D4D70" w:rsidRPr="00337B86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E1691">
        <w:rPr>
          <w:rFonts w:ascii="Arial" w:hAnsi="Arial" w:cs="Arial"/>
          <w:b/>
        </w:rPr>
        <w:t>непосредственный риск</w:t>
      </w:r>
      <w:r w:rsidRPr="00337B86">
        <w:rPr>
          <w:rFonts w:ascii="Arial" w:hAnsi="Arial" w:cs="Arial"/>
        </w:rPr>
        <w:t xml:space="preserve"> – источник риска напрямую связан какими-либо отношениями с Клиентом;</w:t>
      </w:r>
    </w:p>
    <w:p w:rsidR="001D4D70" w:rsidRPr="002E1691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2E1691">
        <w:rPr>
          <w:rFonts w:ascii="Arial" w:hAnsi="Arial" w:cs="Arial"/>
          <w:b/>
        </w:rPr>
        <w:t>опосредованный риск</w:t>
      </w:r>
      <w:r w:rsidRPr="00337B86">
        <w:rPr>
          <w:rFonts w:ascii="Arial" w:hAnsi="Arial" w:cs="Arial"/>
        </w:rPr>
        <w:t xml:space="preserve"> – возможность наступления неблагоприятного для Клиента события у источника,</w:t>
      </w:r>
      <w:r>
        <w:rPr>
          <w:rFonts w:ascii="Arial" w:hAnsi="Arial" w:cs="Arial"/>
        </w:rPr>
        <w:t xml:space="preserve"> </w:t>
      </w:r>
      <w:r w:rsidRPr="002E1691">
        <w:rPr>
          <w:rFonts w:ascii="Arial" w:hAnsi="Arial" w:cs="Arial"/>
        </w:rPr>
        <w:t>не связанного непосредственно с Клиентом, но влекущего за собой цепочку событий, которые, в конечном</w:t>
      </w:r>
      <w:r>
        <w:rPr>
          <w:rFonts w:ascii="Arial" w:hAnsi="Arial" w:cs="Arial"/>
        </w:rPr>
        <w:t xml:space="preserve"> </w:t>
      </w:r>
      <w:r w:rsidRPr="002E1691">
        <w:rPr>
          <w:rFonts w:ascii="Arial" w:hAnsi="Arial" w:cs="Arial"/>
        </w:rPr>
        <w:t>счете, приводят к потерям у Клиента.</w:t>
      </w:r>
    </w:p>
    <w:p w:rsidR="001D4D70" w:rsidRPr="002E1691" w:rsidRDefault="001D4D70" w:rsidP="001D4D70">
      <w:pPr>
        <w:pStyle w:val="a3"/>
        <w:numPr>
          <w:ilvl w:val="0"/>
          <w:numId w:val="1"/>
        </w:numPr>
        <w:rPr>
          <w:rFonts w:ascii="Arial" w:hAnsi="Arial" w:cs="Arial"/>
          <w:i/>
        </w:rPr>
      </w:pPr>
      <w:r w:rsidRPr="002E1691">
        <w:rPr>
          <w:rFonts w:ascii="Arial" w:hAnsi="Arial" w:cs="Arial"/>
          <w:i/>
        </w:rPr>
        <w:t>По факторам риска:</w:t>
      </w:r>
    </w:p>
    <w:p w:rsidR="001D4D70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73B95">
        <w:rPr>
          <w:rFonts w:ascii="Arial" w:hAnsi="Arial" w:cs="Arial"/>
          <w:b/>
        </w:rPr>
        <w:t>экономический риск</w:t>
      </w:r>
      <w:r w:rsidRPr="00337B86">
        <w:rPr>
          <w:rFonts w:ascii="Arial" w:hAnsi="Arial" w:cs="Arial"/>
        </w:rPr>
        <w:t xml:space="preserve"> – риск возникновения неблагоприятных событий экономического характера. Среди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таких рисков необходимо выделить следующие:</w:t>
      </w:r>
    </w:p>
    <w:p w:rsidR="001D4D70" w:rsidRPr="00173B95" w:rsidRDefault="001D4D70" w:rsidP="001D4D70">
      <w:pPr>
        <w:pStyle w:val="a3"/>
        <w:tabs>
          <w:tab w:val="clear" w:pos="2160"/>
        </w:tabs>
        <w:ind w:left="1134" w:firstLine="0"/>
        <w:rPr>
          <w:rFonts w:ascii="Arial" w:hAnsi="Arial" w:cs="Arial"/>
        </w:rPr>
      </w:pPr>
      <w:r w:rsidRPr="00173B95">
        <w:rPr>
          <w:rFonts w:ascii="Arial" w:hAnsi="Arial" w:cs="Arial"/>
          <w:i/>
        </w:rPr>
        <w:t>ценовой риск</w:t>
      </w:r>
      <w:r w:rsidRPr="00173B95">
        <w:rPr>
          <w:rFonts w:ascii="Arial" w:hAnsi="Arial" w:cs="Arial"/>
        </w:rPr>
        <w:t xml:space="preserve"> – риск потерь от неблагоприятных изменений цен;</w:t>
      </w:r>
    </w:p>
    <w:p w:rsidR="001D4D70" w:rsidRPr="00173B95" w:rsidRDefault="001D4D70" w:rsidP="001D4D70">
      <w:pPr>
        <w:pStyle w:val="a3"/>
        <w:tabs>
          <w:tab w:val="clear" w:pos="2160"/>
        </w:tabs>
        <w:ind w:left="1134" w:firstLine="0"/>
        <w:rPr>
          <w:rFonts w:ascii="Arial" w:hAnsi="Arial" w:cs="Arial"/>
        </w:rPr>
      </w:pPr>
      <w:r w:rsidRPr="00173B95">
        <w:rPr>
          <w:rFonts w:ascii="Arial" w:hAnsi="Arial" w:cs="Arial"/>
          <w:i/>
        </w:rPr>
        <w:t xml:space="preserve">валютный </w:t>
      </w:r>
      <w:r w:rsidRPr="00173B95">
        <w:rPr>
          <w:rFonts w:ascii="Arial" w:hAnsi="Arial" w:cs="Arial"/>
        </w:rPr>
        <w:t>риск – риск потерь от неблагоприятных изменений валютных курсов;</w:t>
      </w:r>
    </w:p>
    <w:p w:rsidR="001D4D70" w:rsidRPr="00173B95" w:rsidRDefault="001D4D70" w:rsidP="001D4D70">
      <w:pPr>
        <w:pStyle w:val="a3"/>
        <w:tabs>
          <w:tab w:val="clear" w:pos="2160"/>
        </w:tabs>
        <w:ind w:left="1134" w:firstLine="0"/>
        <w:rPr>
          <w:rFonts w:ascii="Arial" w:hAnsi="Arial" w:cs="Arial"/>
        </w:rPr>
      </w:pPr>
      <w:r w:rsidRPr="00173B95">
        <w:rPr>
          <w:rFonts w:ascii="Arial" w:hAnsi="Arial" w:cs="Arial"/>
          <w:i/>
        </w:rPr>
        <w:t xml:space="preserve">процентный </w:t>
      </w:r>
      <w:r w:rsidRPr="00173B95">
        <w:rPr>
          <w:rFonts w:ascii="Arial" w:hAnsi="Arial" w:cs="Arial"/>
        </w:rPr>
        <w:t>риск – риск потерь из-за негативных изменений процентных ставок;</w:t>
      </w:r>
    </w:p>
    <w:p w:rsidR="001D4D70" w:rsidRPr="00173B95" w:rsidRDefault="001D4D70" w:rsidP="001D4D70">
      <w:pPr>
        <w:pStyle w:val="a3"/>
        <w:tabs>
          <w:tab w:val="clear" w:pos="2160"/>
        </w:tabs>
        <w:ind w:left="1134" w:firstLine="0"/>
        <w:rPr>
          <w:rFonts w:ascii="Arial" w:hAnsi="Arial" w:cs="Arial"/>
        </w:rPr>
      </w:pPr>
      <w:r w:rsidRPr="00173B95">
        <w:rPr>
          <w:rFonts w:ascii="Arial" w:hAnsi="Arial" w:cs="Arial"/>
          <w:i/>
        </w:rPr>
        <w:t xml:space="preserve">инфляционный </w:t>
      </w:r>
      <w:r w:rsidRPr="00173B95">
        <w:rPr>
          <w:rFonts w:ascii="Arial" w:hAnsi="Arial" w:cs="Arial"/>
        </w:rPr>
        <w:t>риск – риск снижения покупательной способности денег;</w:t>
      </w:r>
    </w:p>
    <w:p w:rsidR="001D4D70" w:rsidRPr="00173B95" w:rsidRDefault="001D4D70" w:rsidP="001D4D70">
      <w:pPr>
        <w:pStyle w:val="a3"/>
        <w:tabs>
          <w:tab w:val="clear" w:pos="2160"/>
        </w:tabs>
        <w:ind w:left="1134" w:firstLine="0"/>
        <w:rPr>
          <w:rFonts w:ascii="Arial" w:hAnsi="Arial" w:cs="Arial"/>
          <w:i/>
        </w:rPr>
      </w:pPr>
      <w:r w:rsidRPr="00173B95">
        <w:rPr>
          <w:rFonts w:ascii="Arial" w:hAnsi="Arial" w:cs="Arial"/>
          <w:i/>
        </w:rPr>
        <w:t xml:space="preserve">риск ликвидности </w:t>
      </w:r>
      <w:r w:rsidRPr="00173B95">
        <w:rPr>
          <w:rFonts w:ascii="Arial" w:hAnsi="Arial" w:cs="Arial"/>
        </w:rPr>
        <w:t>– связан с невозможностью продать инструмент в нужный момент времени по ожидаемой высокой цене.</w:t>
      </w:r>
    </w:p>
    <w:p w:rsidR="001D4D70" w:rsidRPr="00337B86" w:rsidRDefault="001D4D70" w:rsidP="001D4D70">
      <w:pPr>
        <w:pStyle w:val="a3"/>
        <w:tabs>
          <w:tab w:val="clear" w:pos="2160"/>
        </w:tabs>
        <w:ind w:left="1134" w:firstLine="0"/>
        <w:rPr>
          <w:rFonts w:ascii="Arial" w:hAnsi="Arial" w:cs="Arial"/>
        </w:rPr>
      </w:pPr>
      <w:r w:rsidRPr="000228EE">
        <w:rPr>
          <w:rFonts w:ascii="Arial" w:hAnsi="Arial" w:cs="Arial"/>
          <w:i/>
        </w:rPr>
        <w:t>кредитный риск</w:t>
      </w:r>
      <w:r w:rsidRPr="00337B86">
        <w:rPr>
          <w:rFonts w:ascii="Arial" w:hAnsi="Arial" w:cs="Arial"/>
        </w:rPr>
        <w:t xml:space="preserve"> – возможность невыполнения контрагентом обязательств по договору и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возникновение в связи с этим потерь у Клиента. Например, неплатежеспособность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покупателя, неплатежеспособность эмитента и т.п.;</w:t>
      </w:r>
    </w:p>
    <w:p w:rsidR="001D4D70" w:rsidRPr="00337B86" w:rsidRDefault="001D4D70" w:rsidP="001D4D70">
      <w:pPr>
        <w:pStyle w:val="a3"/>
        <w:tabs>
          <w:tab w:val="clear" w:pos="2160"/>
        </w:tabs>
        <w:ind w:left="1134" w:firstLine="0"/>
        <w:rPr>
          <w:rFonts w:ascii="Arial" w:hAnsi="Arial" w:cs="Arial"/>
        </w:rPr>
      </w:pPr>
      <w:r w:rsidRPr="000228EE">
        <w:rPr>
          <w:rFonts w:ascii="Arial" w:hAnsi="Arial" w:cs="Arial"/>
          <w:i/>
        </w:rPr>
        <w:t>финансовый риск</w:t>
      </w:r>
      <w:r w:rsidRPr="00337B86">
        <w:rPr>
          <w:rFonts w:ascii="Arial" w:hAnsi="Arial" w:cs="Arial"/>
        </w:rPr>
        <w:t xml:space="preserve"> - связан с соотношением собственных и заемных средств среди источников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финансирования инвестиций. Чем выше доля заемных средств, так называемый финансовый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рычаг, тем выше финансовый риск;</w:t>
      </w:r>
    </w:p>
    <w:p w:rsidR="001D4D70" w:rsidRPr="00337B86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228EE">
        <w:rPr>
          <w:rFonts w:ascii="Arial" w:hAnsi="Arial" w:cs="Arial"/>
          <w:b/>
        </w:rPr>
        <w:t>правовой риск</w:t>
      </w:r>
      <w:r w:rsidRPr="00337B86">
        <w:rPr>
          <w:rFonts w:ascii="Arial" w:hAnsi="Arial" w:cs="Arial"/>
        </w:rPr>
        <w:t xml:space="preserve"> – риск законодательных изменений (законодательный риск) - возможность потерь от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вложений, в связи с появлением новых или изменением существующих законодательных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актов, в том числе налоговых . Законодательный риск включает также возможность потерь от отсутствия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нормативно-правовых актов, регулирующих деятельность на рынке ценных бумаг в каком-либо его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секторе;</w:t>
      </w:r>
    </w:p>
    <w:p w:rsidR="001D4D70" w:rsidRPr="00337B86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228EE">
        <w:rPr>
          <w:rFonts w:ascii="Arial" w:hAnsi="Arial" w:cs="Arial"/>
          <w:b/>
        </w:rPr>
        <w:t>социально-политический</w:t>
      </w:r>
      <w:r w:rsidRPr="00337B86">
        <w:rPr>
          <w:rFonts w:ascii="Arial" w:hAnsi="Arial" w:cs="Arial"/>
        </w:rPr>
        <w:t xml:space="preserve"> – риск радикального изменения политического и экономического курса,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особенно при смене Президента, Парламента, Правительства, риск социальной нестабильности, в том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числе забастовок, риск начала военных действий;</w:t>
      </w:r>
    </w:p>
    <w:p w:rsidR="001D4D70" w:rsidRPr="00337B86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228EE">
        <w:rPr>
          <w:rFonts w:ascii="Arial" w:hAnsi="Arial" w:cs="Arial"/>
          <w:b/>
        </w:rPr>
        <w:t>криминальный</w:t>
      </w:r>
      <w:r w:rsidRPr="00337B86">
        <w:rPr>
          <w:rFonts w:ascii="Arial" w:hAnsi="Arial" w:cs="Arial"/>
        </w:rPr>
        <w:t xml:space="preserve"> - риск, связанный с противоправными действиями, например такими, как подделка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ценных бумаг, выпущенных в документарной форме, мошенничество и т.д.;</w:t>
      </w:r>
    </w:p>
    <w:p w:rsidR="001D4D70" w:rsidRPr="00337B86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228EE">
        <w:rPr>
          <w:rFonts w:ascii="Arial" w:hAnsi="Arial" w:cs="Arial"/>
          <w:b/>
        </w:rPr>
        <w:t xml:space="preserve">операционный </w:t>
      </w:r>
      <w:r w:rsidRPr="000228EE">
        <w:rPr>
          <w:rFonts w:ascii="Arial" w:hAnsi="Arial" w:cs="Arial"/>
          <w:i/>
        </w:rPr>
        <w:t xml:space="preserve">(технический, технологический, кадровый) </w:t>
      </w:r>
      <w:r>
        <w:rPr>
          <w:rFonts w:ascii="Arial" w:hAnsi="Arial" w:cs="Arial"/>
        </w:rPr>
        <w:t>–</w:t>
      </w:r>
      <w:r w:rsidRPr="00337B86">
        <w:rPr>
          <w:rFonts w:ascii="Arial" w:hAnsi="Arial" w:cs="Arial"/>
        </w:rPr>
        <w:t xml:space="preserve"> риск прямых или косвенных потерь по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причине неисправностей информационных, электрических и иных систем, или из-за ошибок, связанных с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несовершенством инфраструктуры рынка, в том числе, технологий проведения операций, процедур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управления, учета и контроля, или из-за действий (бездействия) персонала. В особую группу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операционных рисков можно выделить информационные риски, которые в последнее время приобретают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особую остроту и включают в себя составляющие технического, технологического и кадрового рисков;</w:t>
      </w:r>
    </w:p>
    <w:p w:rsidR="001D4D70" w:rsidRPr="00337B86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228EE">
        <w:rPr>
          <w:rFonts w:ascii="Arial" w:hAnsi="Arial" w:cs="Arial"/>
          <w:b/>
        </w:rPr>
        <w:t>техногенный</w:t>
      </w:r>
      <w:r w:rsidRPr="00337B86">
        <w:rPr>
          <w:rFonts w:ascii="Arial" w:hAnsi="Arial" w:cs="Arial"/>
        </w:rPr>
        <w:t xml:space="preserve"> – риск, порожденный хозяйственной деятельностью человека: аварийные ситуации, пожары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и т.д.;</w:t>
      </w:r>
    </w:p>
    <w:p w:rsidR="001D4D70" w:rsidRPr="000228EE" w:rsidRDefault="001D4D70" w:rsidP="001D4D70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0228EE">
        <w:rPr>
          <w:rFonts w:ascii="Arial" w:hAnsi="Arial" w:cs="Arial"/>
          <w:b/>
        </w:rPr>
        <w:t>природный</w:t>
      </w:r>
      <w:r w:rsidRPr="00337B86">
        <w:rPr>
          <w:rFonts w:ascii="Arial" w:hAnsi="Arial" w:cs="Arial"/>
        </w:rPr>
        <w:t xml:space="preserve"> – риск, не зависящий от деятельности человека (риски стихийных бедствий: землетрясение,</w:t>
      </w:r>
      <w:r>
        <w:rPr>
          <w:rFonts w:ascii="Arial" w:hAnsi="Arial" w:cs="Arial"/>
        </w:rPr>
        <w:t xml:space="preserve"> </w:t>
      </w:r>
      <w:r w:rsidRPr="000228EE">
        <w:rPr>
          <w:rFonts w:ascii="Arial" w:hAnsi="Arial" w:cs="Arial"/>
        </w:rPr>
        <w:t>наводнение, ураган, тайфун, удар молнии и т.д.).</w:t>
      </w:r>
    </w:p>
    <w:p w:rsidR="001D4D70" w:rsidRPr="00337B86" w:rsidRDefault="001D4D70" w:rsidP="001D4D70">
      <w:pPr>
        <w:pStyle w:val="a3"/>
        <w:tabs>
          <w:tab w:val="clear" w:pos="2160"/>
        </w:tabs>
        <w:ind w:left="0" w:firstLine="284"/>
        <w:rPr>
          <w:rFonts w:ascii="Arial" w:hAnsi="Arial" w:cs="Arial"/>
        </w:rPr>
      </w:pPr>
    </w:p>
    <w:p w:rsidR="001D4D70" w:rsidRPr="00CA4BB6" w:rsidRDefault="001D4D70" w:rsidP="001D4D70">
      <w:pPr>
        <w:pStyle w:val="a3"/>
        <w:tabs>
          <w:tab w:val="clear" w:pos="2160"/>
        </w:tabs>
        <w:ind w:left="0" w:firstLine="284"/>
        <w:jc w:val="center"/>
        <w:rPr>
          <w:rFonts w:ascii="Arial" w:hAnsi="Arial" w:cs="Arial"/>
          <w:b/>
        </w:rPr>
      </w:pPr>
      <w:r w:rsidRPr="00CA4BB6">
        <w:rPr>
          <w:rFonts w:ascii="Arial" w:hAnsi="Arial" w:cs="Arial"/>
          <w:b/>
        </w:rPr>
        <w:t>РИСКИ, СВЯЗАННЫЕ С ПРОВЕДЕНИЕМ ОПЕРАЦИЙ НА РЫНКЕ ФЬЮЧЕРСНЫХ КОНТРАКТОВ И ОПЦИОНОВ</w:t>
      </w:r>
    </w:p>
    <w:p w:rsidR="001D4D70" w:rsidRPr="00337B86" w:rsidRDefault="001D4D70" w:rsidP="001D4D70">
      <w:pPr>
        <w:pStyle w:val="a3"/>
        <w:tabs>
          <w:tab w:val="clear" w:pos="2160"/>
        </w:tabs>
        <w:ind w:left="0" w:firstLine="284"/>
        <w:rPr>
          <w:rFonts w:ascii="Arial" w:hAnsi="Arial" w:cs="Arial"/>
        </w:rPr>
      </w:pPr>
      <w:r w:rsidRPr="00337B86">
        <w:rPr>
          <w:rFonts w:ascii="Arial" w:hAnsi="Arial" w:cs="Arial"/>
        </w:rPr>
        <w:t>Риск потери средств при проведении операций с фьючерсными контрактами и опционами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на рынке фьючерсных контрактов и опционов может быть существенным. Вам следует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всесторонне рассмотреть вопрос о приемлемости для Вас проведения подобных операций с точки</w:t>
      </w:r>
      <w:r>
        <w:rPr>
          <w:rFonts w:ascii="Arial" w:hAnsi="Arial" w:cs="Arial"/>
        </w:rPr>
        <w:t xml:space="preserve"> </w:t>
      </w:r>
      <w:r w:rsidRPr="00337B86">
        <w:rPr>
          <w:rFonts w:ascii="Arial" w:hAnsi="Arial" w:cs="Arial"/>
        </w:rPr>
        <w:t>зрения ваших финансовых ресурсов. Вы должны быть осведомлены о следующем:</w:t>
      </w:r>
    </w:p>
    <w:p w:rsidR="001D4D70" w:rsidRPr="00CA4BB6" w:rsidRDefault="001D4D70" w:rsidP="001D4D70">
      <w:pPr>
        <w:pStyle w:val="a3"/>
        <w:numPr>
          <w:ilvl w:val="0"/>
          <w:numId w:val="3"/>
        </w:numPr>
        <w:ind w:left="0" w:firstLine="284"/>
        <w:rPr>
          <w:rFonts w:ascii="Arial" w:hAnsi="Arial" w:cs="Arial"/>
        </w:rPr>
      </w:pPr>
      <w:r w:rsidRPr="00CA4BB6">
        <w:rPr>
          <w:rFonts w:ascii="Arial" w:hAnsi="Arial" w:cs="Arial"/>
        </w:rPr>
        <w:lastRenderedPageBreak/>
        <w:t>в случае, если на рынке фьючерсных контрактов и опционов складывается ситуация, неблагоприятная для занятой Вами на этом рынке позиции, есть вероятность в сравнительно короткий срок потерять все средства, переданные Вами Банку и предназначенные для внесения в качестве гарантийного обеспечения по позициям открываемым по Вашим распоряжениям на рынке фьючерсных контрактов и опционов;</w:t>
      </w:r>
    </w:p>
    <w:p w:rsidR="001D4D70" w:rsidRPr="00CA4BB6" w:rsidRDefault="001D4D70" w:rsidP="001D4D70">
      <w:pPr>
        <w:pStyle w:val="a3"/>
        <w:numPr>
          <w:ilvl w:val="0"/>
          <w:numId w:val="3"/>
        </w:numPr>
        <w:ind w:left="0" w:firstLine="284"/>
        <w:rPr>
          <w:rFonts w:ascii="Arial" w:hAnsi="Arial" w:cs="Arial"/>
        </w:rPr>
      </w:pPr>
      <w:r w:rsidRPr="00CA4BB6">
        <w:rPr>
          <w:rFonts w:ascii="Arial" w:hAnsi="Arial" w:cs="Arial"/>
        </w:rPr>
        <w:t>при неблагоприятном для Вас движении цен для поддержания занятой на рынке позиции от Вас могут потребовать внести дополнительные средства (вариационную маржу, дополнительное гарантийное обеспечение и т.п.) значительного размера и в короткий срок, и если Вы не сможете внести эти средства в установленные сроки, то Ваша позиция может быть принудительно ликвидирована с убытком, и Вы будете ответственны за любые образовавшейся при этом потери;</w:t>
      </w:r>
    </w:p>
    <w:p w:rsidR="001D4D70" w:rsidRPr="00CA4BB6" w:rsidRDefault="001D4D70" w:rsidP="001D4D70">
      <w:pPr>
        <w:pStyle w:val="a3"/>
        <w:numPr>
          <w:ilvl w:val="0"/>
          <w:numId w:val="3"/>
        </w:numPr>
        <w:ind w:left="0" w:firstLine="284"/>
        <w:rPr>
          <w:rFonts w:ascii="Arial" w:hAnsi="Arial" w:cs="Arial"/>
        </w:rPr>
      </w:pPr>
      <w:r w:rsidRPr="00CA4BB6">
        <w:rPr>
          <w:rFonts w:ascii="Arial" w:hAnsi="Arial" w:cs="Arial"/>
        </w:rPr>
        <w:t>если Вы в ответ на предъявляемое требование к размеру гарантийного обеспечения внесли в соответствии с договором залога имущество или иные ценности, то после совершения по Вашему распоряжению сделки Вы теряете право распоряжения им до закрытия Вами позиций, а кроме того в случаях, предусмотренных правилами торговли и договором залога, на данное имущество или иные ценности может быть обращено</w:t>
      </w:r>
      <w:r>
        <w:rPr>
          <w:rFonts w:ascii="Arial" w:hAnsi="Arial" w:cs="Arial"/>
        </w:rPr>
        <w:t xml:space="preserve"> </w:t>
      </w:r>
      <w:r w:rsidRPr="00CA4BB6">
        <w:rPr>
          <w:rFonts w:ascii="Arial" w:hAnsi="Arial" w:cs="Arial"/>
        </w:rPr>
        <w:t>взыскание и они могут быть реализованы;</w:t>
      </w:r>
    </w:p>
    <w:p w:rsidR="001D4D70" w:rsidRPr="00CA4BB6" w:rsidRDefault="001D4D70" w:rsidP="001D4D70">
      <w:pPr>
        <w:pStyle w:val="a3"/>
        <w:numPr>
          <w:ilvl w:val="0"/>
          <w:numId w:val="3"/>
        </w:numPr>
        <w:ind w:left="0" w:firstLine="284"/>
        <w:rPr>
          <w:rFonts w:ascii="Arial" w:hAnsi="Arial" w:cs="Arial"/>
        </w:rPr>
      </w:pPr>
      <w:r w:rsidRPr="00CA4BB6">
        <w:rPr>
          <w:rFonts w:ascii="Arial" w:hAnsi="Arial" w:cs="Arial"/>
        </w:rPr>
        <w:t>в следствии условий, складывающихся на рынке фьючерсных контрактов и опционов, может стать затруднительным или невозможным закрытие открытой Вами позиции. Это возможно, например, когда при быстром изменении цен торги на рынке фьючерсных контрактов и опционов приостановлены или ограничены</w:t>
      </w:r>
    </w:p>
    <w:p w:rsidR="001D4D70" w:rsidRPr="00CA4BB6" w:rsidRDefault="001D4D70" w:rsidP="001D4D70">
      <w:pPr>
        <w:pStyle w:val="a3"/>
        <w:numPr>
          <w:ilvl w:val="0"/>
          <w:numId w:val="3"/>
        </w:numPr>
        <w:ind w:left="0" w:firstLine="284"/>
        <w:rPr>
          <w:rFonts w:ascii="Arial" w:hAnsi="Arial" w:cs="Arial"/>
        </w:rPr>
      </w:pPr>
      <w:r w:rsidRPr="00CA4BB6">
        <w:rPr>
          <w:rFonts w:ascii="Arial" w:hAnsi="Arial" w:cs="Arial"/>
        </w:rPr>
        <w:t xml:space="preserve">стоп-распоряжения, направленные на ограничение убытков, необязательно ограничат Ваши потери до предполагаемого уровня, так как в складывающейся на рынке ситуации может оказаться невозможным исполнить такое поручение по оговоренной цене </w:t>
      </w:r>
    </w:p>
    <w:p w:rsidR="001D4D70" w:rsidRPr="00337B86" w:rsidRDefault="001D4D70" w:rsidP="001D4D70">
      <w:pPr>
        <w:pStyle w:val="a3"/>
        <w:tabs>
          <w:tab w:val="clear" w:pos="2160"/>
        </w:tabs>
        <w:ind w:left="0" w:firstLine="284"/>
        <w:rPr>
          <w:rFonts w:ascii="Arial" w:hAnsi="Arial" w:cs="Arial"/>
        </w:rPr>
      </w:pPr>
      <w:r w:rsidRPr="00337B86">
        <w:rPr>
          <w:rFonts w:ascii="Arial" w:hAnsi="Arial" w:cs="Arial"/>
        </w:rPr>
        <w:t>Настоящая Декларация призвана помочь Вам оценить инвестиционные риски и ответственно подойти к выбору Вашей инвестиционной стратегии.</w:t>
      </w:r>
    </w:p>
    <w:p w:rsidR="001D4D70" w:rsidRPr="00337B86" w:rsidRDefault="00F13859" w:rsidP="001D4D70">
      <w:pPr>
        <w:pStyle w:val="a3"/>
        <w:tabs>
          <w:tab w:val="clear" w:pos="2160"/>
        </w:tabs>
        <w:ind w:left="0"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4D70" w:rsidRPr="00337B86">
        <w:rPr>
          <w:rFonts w:ascii="Arial" w:hAnsi="Arial" w:cs="Arial"/>
        </w:rPr>
        <w:t xml:space="preserve">Учитывая </w:t>
      </w:r>
      <w:proofErr w:type="gramStart"/>
      <w:r w:rsidR="001D4D70" w:rsidRPr="00337B86">
        <w:rPr>
          <w:rFonts w:ascii="Arial" w:hAnsi="Arial" w:cs="Arial"/>
        </w:rPr>
        <w:t>вышеизложенное</w:t>
      </w:r>
      <w:proofErr w:type="gramEnd"/>
      <w:r w:rsidR="001D4D70" w:rsidRPr="00337B86">
        <w:rPr>
          <w:rFonts w:ascii="Arial" w:hAnsi="Arial" w:cs="Arial"/>
        </w:rPr>
        <w:t>, мы рекомендуем Вам внимательно рассмотреть вопрос о том, являются ли</w:t>
      </w:r>
      <w:r w:rsidR="001D4D70">
        <w:rPr>
          <w:rFonts w:ascii="Arial" w:hAnsi="Arial" w:cs="Arial"/>
        </w:rPr>
        <w:t xml:space="preserve"> </w:t>
      </w:r>
      <w:r w:rsidR="001D4D70" w:rsidRPr="00337B86">
        <w:rPr>
          <w:rFonts w:ascii="Arial" w:hAnsi="Arial" w:cs="Arial"/>
        </w:rPr>
        <w:t>риски, возникающие при проведении операций на рынке ценных бумаг, валютном рынке,</w:t>
      </w:r>
      <w:r>
        <w:rPr>
          <w:rFonts w:ascii="Arial" w:hAnsi="Arial" w:cs="Arial"/>
        </w:rPr>
        <w:t xml:space="preserve"> </w:t>
      </w:r>
      <w:r w:rsidR="001D4D70" w:rsidRPr="00337B86">
        <w:rPr>
          <w:rFonts w:ascii="Arial" w:hAnsi="Arial" w:cs="Arial"/>
        </w:rPr>
        <w:t>а также на рынке фьючерсных контрактов и опционов, приемлемыми для Вас с учетом Ваших инвестиционных целей и финансовых возможностей.</w:t>
      </w:r>
    </w:p>
    <w:p w:rsidR="001D4D70" w:rsidRDefault="001D4D70" w:rsidP="001D4D70">
      <w:pPr>
        <w:pStyle w:val="a3"/>
        <w:tabs>
          <w:tab w:val="clear" w:pos="2160"/>
        </w:tabs>
        <w:ind w:left="0" w:firstLine="284"/>
        <w:rPr>
          <w:rFonts w:ascii="Arial" w:hAnsi="Arial" w:cs="Arial"/>
        </w:rPr>
      </w:pPr>
      <w:r w:rsidRPr="00337B86">
        <w:rPr>
          <w:rFonts w:ascii="Arial" w:hAnsi="Arial" w:cs="Arial"/>
        </w:rPr>
        <w:t>Декларация о рисках, связанных с осуществлением операций на фондовом, валютном и срочном рынке мною прочитана и понята. Я осознаю реальные риски при принятии инвестиционных решений.</w:t>
      </w:r>
    </w:p>
    <w:p w:rsidR="00EA76DF" w:rsidRDefault="00EA76DF" w:rsidP="001D4D70"/>
    <w:p w:rsidR="00353E08" w:rsidRDefault="00353E08" w:rsidP="001D4D70"/>
    <w:p w:rsidR="00353E08" w:rsidRDefault="00353E08" w:rsidP="001D4D70"/>
    <w:p w:rsidR="00353E08" w:rsidRDefault="00353E08" w:rsidP="001D4D70">
      <w:r>
        <w:t>Подпись Клиента:____________________________________________________________________________</w:t>
      </w:r>
    </w:p>
    <w:p w:rsidR="00353E08" w:rsidRDefault="00F13859" w:rsidP="001D4D7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E08">
        <w:t>(должность, Ф.И.О.)</w:t>
      </w:r>
      <w:r>
        <w:t xml:space="preserve"> </w:t>
      </w:r>
      <w:r>
        <w:tab/>
      </w:r>
      <w:r>
        <w:tab/>
      </w:r>
      <w:r w:rsidR="00353E08">
        <w:t>м.п.</w:t>
      </w:r>
    </w:p>
    <w:p w:rsidR="00353E08" w:rsidRDefault="00353E08" w:rsidP="001D4D70"/>
    <w:p w:rsidR="00353E08" w:rsidRDefault="00353E08" w:rsidP="001D4D70"/>
    <w:p w:rsidR="00353E08" w:rsidRDefault="00353E08" w:rsidP="00F13859">
      <w:pPr>
        <w:ind w:left="3540" w:firstLine="708"/>
      </w:pPr>
      <w:r>
        <w:t>Дата:</w:t>
      </w:r>
    </w:p>
    <w:p w:rsidR="00353E08" w:rsidRDefault="00353E08" w:rsidP="001D4D70"/>
    <w:bookmarkEnd w:id="0"/>
    <w:p w:rsidR="00353E08" w:rsidRDefault="00353E08" w:rsidP="001D4D70"/>
    <w:sectPr w:rsidR="00353E08" w:rsidSect="00BA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9A" w:rsidRDefault="0004519A" w:rsidP="00364A57">
      <w:r>
        <w:separator/>
      </w:r>
    </w:p>
  </w:endnote>
  <w:endnote w:type="continuationSeparator" w:id="0">
    <w:p w:rsidR="0004519A" w:rsidRDefault="0004519A" w:rsidP="0036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9A" w:rsidRDefault="0004519A" w:rsidP="00364A57">
      <w:r>
        <w:separator/>
      </w:r>
    </w:p>
  </w:footnote>
  <w:footnote w:type="continuationSeparator" w:id="0">
    <w:p w:rsidR="0004519A" w:rsidRDefault="0004519A" w:rsidP="00364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510"/>
    <w:multiLevelType w:val="hybridMultilevel"/>
    <w:tmpl w:val="3A565D1C"/>
    <w:lvl w:ilvl="0" w:tplc="7F44D176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5232D66C" w:tentative="1">
      <w:start w:val="1"/>
      <w:numFmt w:val="lowerLetter"/>
      <w:lvlText w:val="%2."/>
      <w:lvlJc w:val="left"/>
      <w:pPr>
        <w:ind w:left="1364" w:hanging="360"/>
      </w:pPr>
    </w:lvl>
    <w:lvl w:ilvl="2" w:tplc="A9165816" w:tentative="1">
      <w:start w:val="1"/>
      <w:numFmt w:val="lowerRoman"/>
      <w:lvlText w:val="%3."/>
      <w:lvlJc w:val="right"/>
      <w:pPr>
        <w:ind w:left="2084" w:hanging="180"/>
      </w:pPr>
    </w:lvl>
    <w:lvl w:ilvl="3" w:tplc="AC7A402A" w:tentative="1">
      <w:start w:val="1"/>
      <w:numFmt w:val="decimal"/>
      <w:lvlText w:val="%4."/>
      <w:lvlJc w:val="left"/>
      <w:pPr>
        <w:ind w:left="2804" w:hanging="360"/>
      </w:pPr>
    </w:lvl>
    <w:lvl w:ilvl="4" w:tplc="1F58E58C" w:tentative="1">
      <w:start w:val="1"/>
      <w:numFmt w:val="lowerLetter"/>
      <w:lvlText w:val="%5."/>
      <w:lvlJc w:val="left"/>
      <w:pPr>
        <w:ind w:left="3524" w:hanging="360"/>
      </w:pPr>
    </w:lvl>
    <w:lvl w:ilvl="5" w:tplc="CDA4A366" w:tentative="1">
      <w:start w:val="1"/>
      <w:numFmt w:val="lowerRoman"/>
      <w:lvlText w:val="%6."/>
      <w:lvlJc w:val="right"/>
      <w:pPr>
        <w:ind w:left="4244" w:hanging="180"/>
      </w:pPr>
    </w:lvl>
    <w:lvl w:ilvl="6" w:tplc="E97E1406" w:tentative="1">
      <w:start w:val="1"/>
      <w:numFmt w:val="decimal"/>
      <w:lvlText w:val="%7."/>
      <w:lvlJc w:val="left"/>
      <w:pPr>
        <w:ind w:left="4964" w:hanging="360"/>
      </w:pPr>
    </w:lvl>
    <w:lvl w:ilvl="7" w:tplc="74649E00" w:tentative="1">
      <w:start w:val="1"/>
      <w:numFmt w:val="lowerLetter"/>
      <w:lvlText w:val="%8."/>
      <w:lvlJc w:val="left"/>
      <w:pPr>
        <w:ind w:left="5684" w:hanging="360"/>
      </w:pPr>
    </w:lvl>
    <w:lvl w:ilvl="8" w:tplc="EBF2407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993291"/>
    <w:multiLevelType w:val="hybridMultilevel"/>
    <w:tmpl w:val="3C2E1A72"/>
    <w:lvl w:ilvl="0" w:tplc="96A81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CE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4B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A27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6E93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6E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A0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289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644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33387"/>
    <w:multiLevelType w:val="hybridMultilevel"/>
    <w:tmpl w:val="99061E86"/>
    <w:lvl w:ilvl="0" w:tplc="0DA6E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3F64A4A" w:tentative="1">
      <w:start w:val="1"/>
      <w:numFmt w:val="lowerLetter"/>
      <w:lvlText w:val="%2."/>
      <w:lvlJc w:val="left"/>
      <w:pPr>
        <w:ind w:left="1440" w:hanging="360"/>
      </w:pPr>
    </w:lvl>
    <w:lvl w:ilvl="2" w:tplc="73C6E13E" w:tentative="1">
      <w:start w:val="1"/>
      <w:numFmt w:val="lowerRoman"/>
      <w:lvlText w:val="%3."/>
      <w:lvlJc w:val="right"/>
      <w:pPr>
        <w:ind w:left="2160" w:hanging="180"/>
      </w:pPr>
    </w:lvl>
    <w:lvl w:ilvl="3" w:tplc="B72EE996" w:tentative="1">
      <w:start w:val="1"/>
      <w:numFmt w:val="decimal"/>
      <w:lvlText w:val="%4."/>
      <w:lvlJc w:val="left"/>
      <w:pPr>
        <w:ind w:left="2880" w:hanging="360"/>
      </w:pPr>
    </w:lvl>
    <w:lvl w:ilvl="4" w:tplc="BC8E127C" w:tentative="1">
      <w:start w:val="1"/>
      <w:numFmt w:val="lowerLetter"/>
      <w:lvlText w:val="%5."/>
      <w:lvlJc w:val="left"/>
      <w:pPr>
        <w:ind w:left="3600" w:hanging="360"/>
      </w:pPr>
    </w:lvl>
    <w:lvl w:ilvl="5" w:tplc="6526B9C6" w:tentative="1">
      <w:start w:val="1"/>
      <w:numFmt w:val="lowerRoman"/>
      <w:lvlText w:val="%6."/>
      <w:lvlJc w:val="right"/>
      <w:pPr>
        <w:ind w:left="4320" w:hanging="180"/>
      </w:pPr>
    </w:lvl>
    <w:lvl w:ilvl="6" w:tplc="966075C8" w:tentative="1">
      <w:start w:val="1"/>
      <w:numFmt w:val="decimal"/>
      <w:lvlText w:val="%7."/>
      <w:lvlJc w:val="left"/>
      <w:pPr>
        <w:ind w:left="5040" w:hanging="360"/>
      </w:pPr>
    </w:lvl>
    <w:lvl w:ilvl="7" w:tplc="0690084A" w:tentative="1">
      <w:start w:val="1"/>
      <w:numFmt w:val="lowerLetter"/>
      <w:lvlText w:val="%8."/>
      <w:lvlJc w:val="left"/>
      <w:pPr>
        <w:ind w:left="5760" w:hanging="360"/>
      </w:pPr>
    </w:lvl>
    <w:lvl w:ilvl="8" w:tplc="75F008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70"/>
    <w:rsid w:val="0004519A"/>
    <w:rsid w:val="00111823"/>
    <w:rsid w:val="001D4D70"/>
    <w:rsid w:val="002C1B51"/>
    <w:rsid w:val="003351B0"/>
    <w:rsid w:val="00353E08"/>
    <w:rsid w:val="00364A57"/>
    <w:rsid w:val="004201E5"/>
    <w:rsid w:val="0043324A"/>
    <w:rsid w:val="004447AB"/>
    <w:rsid w:val="00507115"/>
    <w:rsid w:val="006644ED"/>
    <w:rsid w:val="00673EC5"/>
    <w:rsid w:val="006C3EDF"/>
    <w:rsid w:val="00814BB0"/>
    <w:rsid w:val="00841282"/>
    <w:rsid w:val="00AB5FFF"/>
    <w:rsid w:val="00B62A08"/>
    <w:rsid w:val="00BA180F"/>
    <w:rsid w:val="00BB26D5"/>
    <w:rsid w:val="00E85654"/>
    <w:rsid w:val="00EA76DF"/>
    <w:rsid w:val="00F1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D70"/>
    <w:pPr>
      <w:keepLines/>
      <w:tabs>
        <w:tab w:val="num" w:pos="2160"/>
      </w:tabs>
      <w:spacing w:before="120"/>
      <w:ind w:left="2160" w:hanging="180"/>
      <w:jc w:val="both"/>
    </w:pPr>
  </w:style>
  <w:style w:type="character" w:customStyle="1" w:styleId="a4">
    <w:name w:val="Основной текст Знак"/>
    <w:basedOn w:val="a0"/>
    <w:link w:val="a3"/>
    <w:rsid w:val="001D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644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44ED"/>
  </w:style>
  <w:style w:type="character" w:customStyle="1" w:styleId="a7">
    <w:name w:val="Текст примечания Знак"/>
    <w:basedOn w:val="a0"/>
    <w:link w:val="a6"/>
    <w:uiPriority w:val="99"/>
    <w:semiHidden/>
    <w:rsid w:val="00664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44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44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4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4E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64A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4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64A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4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4D70"/>
    <w:pPr>
      <w:keepLines/>
      <w:tabs>
        <w:tab w:val="num" w:pos="2160"/>
      </w:tabs>
      <w:spacing w:before="120"/>
      <w:ind w:left="2160" w:hanging="180"/>
      <w:jc w:val="both"/>
    </w:pPr>
  </w:style>
  <w:style w:type="character" w:customStyle="1" w:styleId="a4">
    <w:name w:val="Основной текст Знак"/>
    <w:basedOn w:val="a0"/>
    <w:link w:val="a3"/>
    <w:rsid w:val="001D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644E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44ED"/>
  </w:style>
  <w:style w:type="character" w:customStyle="1" w:styleId="a7">
    <w:name w:val="Текст примечания Знак"/>
    <w:basedOn w:val="a0"/>
    <w:link w:val="a6"/>
    <w:uiPriority w:val="99"/>
    <w:semiHidden/>
    <w:rsid w:val="006644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44E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44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44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44E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64A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64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64A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4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Senchenko Pavel</cp:lastModifiedBy>
  <cp:revision>7</cp:revision>
  <dcterms:created xsi:type="dcterms:W3CDTF">2014-05-28T16:48:00Z</dcterms:created>
  <dcterms:modified xsi:type="dcterms:W3CDTF">2014-05-29T13:33:00Z</dcterms:modified>
</cp:coreProperties>
</file>