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654" w:rsidRPr="002153CE" w:rsidRDefault="00E85654" w:rsidP="00E85654">
      <w:pPr>
        <w:jc w:val="right"/>
        <w:rPr>
          <w:rFonts w:ascii="Arial" w:hAnsi="Arial" w:cs="Arial"/>
          <w:i/>
        </w:rPr>
      </w:pPr>
      <w:r w:rsidRPr="002153CE">
        <w:rPr>
          <w:rFonts w:ascii="Arial" w:hAnsi="Arial" w:cs="Arial"/>
          <w:i/>
        </w:rPr>
        <w:t>Приложение № 9</w:t>
      </w:r>
    </w:p>
    <w:p w:rsidR="00E85654" w:rsidRPr="002153CE" w:rsidRDefault="0032598C" w:rsidP="00E85654">
      <w:pPr>
        <w:jc w:val="right"/>
        <w:rPr>
          <w:rFonts w:ascii="Arial" w:hAnsi="Arial" w:cs="Arial"/>
          <w:i/>
        </w:rPr>
      </w:pPr>
      <w:r>
        <w:rPr>
          <w:rFonts w:ascii="Arial" w:hAnsi="Arial" w:cs="Arial"/>
          <w:i/>
        </w:rPr>
        <w:t xml:space="preserve">к Регламенту оказания услуг на финансовых рынках </w:t>
      </w:r>
    </w:p>
    <w:p w:rsidR="00E85654" w:rsidRPr="002153CE" w:rsidRDefault="0032598C" w:rsidP="00E85654">
      <w:pPr>
        <w:jc w:val="right"/>
        <w:rPr>
          <w:rFonts w:ascii="Arial" w:hAnsi="Arial" w:cs="Arial"/>
          <w:i/>
        </w:rPr>
      </w:pPr>
      <w:r>
        <w:rPr>
          <w:rFonts w:ascii="Arial" w:hAnsi="Arial" w:cs="Arial"/>
          <w:i/>
        </w:rPr>
        <w:t>ПАО «Бест Эффортс Банк»</w:t>
      </w:r>
    </w:p>
    <w:p w:rsidR="001D4D70" w:rsidRPr="002153CE" w:rsidRDefault="0032598C" w:rsidP="001D4D70">
      <w:pPr>
        <w:pStyle w:val="a3"/>
        <w:tabs>
          <w:tab w:val="clear" w:pos="2160"/>
        </w:tabs>
        <w:ind w:left="0" w:firstLine="284"/>
        <w:jc w:val="center"/>
        <w:rPr>
          <w:rFonts w:ascii="Arial" w:hAnsi="Arial" w:cs="Arial"/>
          <w:b/>
          <w:sz w:val="28"/>
          <w:szCs w:val="28"/>
        </w:rPr>
      </w:pPr>
      <w:r>
        <w:rPr>
          <w:rFonts w:ascii="Arial" w:hAnsi="Arial" w:cs="Arial"/>
          <w:b/>
          <w:sz w:val="28"/>
          <w:szCs w:val="28"/>
        </w:rPr>
        <w:t>Декларация о рисках</w:t>
      </w:r>
    </w:p>
    <w:p w:rsidR="00F311D2" w:rsidRPr="002153CE" w:rsidRDefault="0032598C" w:rsidP="00F311D2">
      <w:pPr>
        <w:pStyle w:val="a3"/>
        <w:tabs>
          <w:tab w:val="clear" w:pos="2160"/>
        </w:tabs>
        <w:ind w:left="0" w:firstLine="284"/>
        <w:rPr>
          <w:rFonts w:ascii="Arial" w:hAnsi="Arial" w:cs="Arial"/>
        </w:rPr>
      </w:pPr>
      <w:r>
        <w:rPr>
          <w:rFonts w:ascii="Arial" w:hAnsi="Arial" w:cs="Arial"/>
        </w:rPr>
        <w:t>Предупреждение о рисках, связанных с проведением операций на рынке ценных бумаг, Валютном рынке и Срочном рынке.</w:t>
      </w:r>
    </w:p>
    <w:p w:rsidR="00F311D2" w:rsidRPr="002153CE" w:rsidRDefault="0032598C" w:rsidP="00F311D2">
      <w:pPr>
        <w:pStyle w:val="a3"/>
        <w:tabs>
          <w:tab w:val="clear" w:pos="2160"/>
        </w:tabs>
        <w:ind w:left="0" w:firstLine="284"/>
        <w:rPr>
          <w:rFonts w:ascii="Arial" w:hAnsi="Arial" w:cs="Arial"/>
          <w:b/>
        </w:rPr>
      </w:pPr>
      <w:r>
        <w:rPr>
          <w:rFonts w:ascii="Arial" w:hAnsi="Arial" w:cs="Arial"/>
          <w:b/>
        </w:rPr>
        <w:t>Целью настоящего Предупреждения о рисках является предоставление Клиенту информации о рисках, связанных с приобретением ценных бумаг, в том числе иностранных ценных бумаг, заключением договоров, являющихся производными финансовыми инструментами (далее также именуются как контракты), в том числе базисным активом которых являются ценные бумаги иностранных эмитентов или индексы, рассчитанные по таким ценным бумагам, сделок покупку-продажи иностранной валюты, в том числе сделок своп.</w:t>
      </w:r>
    </w:p>
    <w:p w:rsidR="00F311D2" w:rsidRPr="002153CE" w:rsidRDefault="0032598C" w:rsidP="00F311D2">
      <w:pPr>
        <w:pStyle w:val="a3"/>
        <w:tabs>
          <w:tab w:val="clear" w:pos="2160"/>
        </w:tabs>
        <w:ind w:left="0" w:firstLine="284"/>
        <w:rPr>
          <w:rFonts w:ascii="Arial" w:hAnsi="Arial" w:cs="Arial"/>
        </w:rPr>
      </w:pPr>
      <w:r>
        <w:rPr>
          <w:rFonts w:ascii="Arial" w:hAnsi="Arial" w:cs="Arial"/>
        </w:rPr>
        <w:t>Риск потери средств при проведении операций на финансовых рынках может быть существенным. Клиенту следует всесторонне рассмотреть вопрос о приемлемости для него проведения подобных операций с точки зрения его финансовых ресурсов.</w:t>
      </w:r>
    </w:p>
    <w:p w:rsidR="00F311D2" w:rsidRPr="002153CE" w:rsidRDefault="0032598C" w:rsidP="00F311D2">
      <w:pPr>
        <w:pStyle w:val="a3"/>
        <w:tabs>
          <w:tab w:val="clear" w:pos="2160"/>
        </w:tabs>
        <w:ind w:left="0" w:firstLine="284"/>
        <w:rPr>
          <w:rFonts w:ascii="Arial" w:hAnsi="Arial" w:cs="Arial"/>
        </w:rPr>
      </w:pPr>
      <w:r>
        <w:rPr>
          <w:rFonts w:ascii="Arial" w:hAnsi="Arial" w:cs="Arial"/>
        </w:rPr>
        <w:t>Клиент осведомлен о следующем:</w:t>
      </w:r>
    </w:p>
    <w:p w:rsidR="00F311D2" w:rsidRPr="002153CE" w:rsidRDefault="00F311D2" w:rsidP="00F311D2">
      <w:pPr>
        <w:pStyle w:val="a3"/>
        <w:ind w:firstLine="284"/>
        <w:rPr>
          <w:rFonts w:ascii="Arial" w:hAnsi="Arial" w:cs="Arial"/>
        </w:rPr>
      </w:pPr>
    </w:p>
    <w:p w:rsidR="00F311D2" w:rsidRPr="002153CE" w:rsidRDefault="0032598C" w:rsidP="00355EE1">
      <w:pPr>
        <w:pStyle w:val="2"/>
        <w:keepLines w:val="0"/>
        <w:numPr>
          <w:ilvl w:val="0"/>
          <w:numId w:val="5"/>
        </w:numPr>
        <w:spacing w:before="120"/>
        <w:jc w:val="both"/>
        <w:rPr>
          <w:rFonts w:cs="Arial"/>
        </w:rPr>
      </w:pPr>
      <w:r>
        <w:rPr>
          <w:rFonts w:cs="Arial"/>
        </w:rPr>
        <w:t>Общие риски</w:t>
      </w:r>
    </w:p>
    <w:p w:rsidR="00F311D2" w:rsidRPr="002153CE" w:rsidRDefault="00F311D2" w:rsidP="00F311D2">
      <w:pPr>
        <w:pStyle w:val="a3"/>
        <w:ind w:firstLine="284"/>
        <w:rPr>
          <w:rFonts w:ascii="Arial" w:hAnsi="Arial" w:cs="Arial"/>
        </w:rPr>
      </w:pPr>
    </w:p>
    <w:p w:rsidR="00F311D2" w:rsidRPr="002153CE" w:rsidRDefault="0032598C" w:rsidP="00355EE1">
      <w:pPr>
        <w:pStyle w:val="a3"/>
        <w:numPr>
          <w:ilvl w:val="1"/>
          <w:numId w:val="4"/>
        </w:numPr>
        <w:rPr>
          <w:rFonts w:ascii="Arial" w:hAnsi="Arial" w:cs="Arial"/>
        </w:rPr>
      </w:pPr>
      <w:r>
        <w:rPr>
          <w:rFonts w:ascii="Arial" w:hAnsi="Arial" w:cs="Arial"/>
        </w:rPr>
        <w:t>Котировки ценных бумаг и/или иностранных валют и/или контрактов подвержены сильным изменениям в результате политических, экономических и финансовых событий в Российской Федерации в мире.</w:t>
      </w:r>
    </w:p>
    <w:p w:rsidR="00E8361D" w:rsidRPr="002153CE" w:rsidRDefault="0032598C" w:rsidP="00355EE1">
      <w:pPr>
        <w:pStyle w:val="a3"/>
        <w:numPr>
          <w:ilvl w:val="1"/>
          <w:numId w:val="4"/>
        </w:numPr>
        <w:rPr>
          <w:rFonts w:ascii="Arial" w:hAnsi="Arial" w:cs="Arial"/>
        </w:rPr>
      </w:pPr>
      <w:r>
        <w:rPr>
          <w:rFonts w:ascii="Arial" w:hAnsi="Arial" w:cs="Arial"/>
        </w:rPr>
        <w:t>Положение на финансовом рынке может изменяться очень быстро, в связи с чем существует риск резкого уменьшения общей стоимости портфеля Клиента и потери всех или части денежных средств, инвестированных в ценные бумаги и/или иностранные валюты и/или контракты.</w:t>
      </w:r>
    </w:p>
    <w:p w:rsidR="00E8361D" w:rsidRPr="002153CE" w:rsidRDefault="0032598C" w:rsidP="00355EE1">
      <w:pPr>
        <w:pStyle w:val="a3"/>
        <w:numPr>
          <w:ilvl w:val="1"/>
          <w:numId w:val="4"/>
        </w:numPr>
        <w:rPr>
          <w:rFonts w:ascii="Arial" w:hAnsi="Arial" w:cs="Arial"/>
        </w:rPr>
      </w:pPr>
      <w:r>
        <w:rPr>
          <w:rFonts w:ascii="Arial" w:hAnsi="Arial" w:cs="Arial"/>
        </w:rPr>
        <w:t>В случае если Клиент совершает сделки без эффекта финансового рычага, то есть полностью обеспечивает исполнение обязательств по заключенной сделке купли-продажи с ценной бумагой и/или иностранной валютой и/или по заключенному контракту, за счет собственных средств, то его максимальный риск не превысит сумму денежных средств, инвестированных в ценные бумаги и/или иностранные валюты и/или контракты.</w:t>
      </w:r>
    </w:p>
    <w:p w:rsidR="00E8361D" w:rsidRPr="002153CE" w:rsidRDefault="0032598C" w:rsidP="00E8361D">
      <w:pPr>
        <w:pStyle w:val="a3"/>
        <w:numPr>
          <w:ilvl w:val="1"/>
          <w:numId w:val="4"/>
        </w:numPr>
        <w:rPr>
          <w:rFonts w:ascii="Arial" w:hAnsi="Arial" w:cs="Arial"/>
        </w:rPr>
      </w:pPr>
      <w:r>
        <w:rPr>
          <w:rFonts w:ascii="Arial" w:hAnsi="Arial" w:cs="Arial"/>
        </w:rPr>
        <w:t>Совершение сделок купли/продажи ценных бумаг, иностранных валют или контрактов с эффектом финансового рычага (например, срочные сделки, при которых возникает требование по гарантийному обеспечению и т.п.) увеличивает потенциальный доход/убыток Клиента от подобных сделок. При этом существенно повышается риск потери части или всех денежных средств, инвестированных в ценные бумаг и/или иностранные валюты и/или контракты.</w:t>
      </w:r>
    </w:p>
    <w:p w:rsidR="00F311D2" w:rsidRPr="002153CE" w:rsidRDefault="0032598C" w:rsidP="00E8361D">
      <w:pPr>
        <w:pStyle w:val="a3"/>
        <w:numPr>
          <w:ilvl w:val="2"/>
          <w:numId w:val="4"/>
        </w:numPr>
        <w:ind w:left="1560" w:hanging="709"/>
        <w:rPr>
          <w:rFonts w:ascii="Arial" w:hAnsi="Arial" w:cs="Arial"/>
        </w:rPr>
      </w:pPr>
      <w:r>
        <w:rPr>
          <w:rFonts w:ascii="Arial" w:hAnsi="Arial" w:cs="Arial"/>
        </w:rPr>
        <w:t>При неблагоприятном для Клиента движении цен для поддержания занятой на рынке позиции может возникнуть необходимость внести дополнительные средства (дополнительное гарантийное обеспечение, вариационную маржу и т. п.) значительного размера и в короткий срок, и если Клиент не сможет внести эти средства в установленные сроки, то его позиция может быть принудительно закрыта с убытком, и Клиент будет ответственен за любые образовавшиеся при этом потери.</w:t>
      </w:r>
    </w:p>
    <w:p w:rsidR="00F311D2" w:rsidRPr="002153CE" w:rsidRDefault="0032598C" w:rsidP="00E8361D">
      <w:pPr>
        <w:pStyle w:val="a3"/>
        <w:numPr>
          <w:ilvl w:val="2"/>
          <w:numId w:val="4"/>
        </w:numPr>
        <w:ind w:left="1560" w:hanging="709"/>
        <w:rPr>
          <w:rFonts w:ascii="Arial" w:hAnsi="Arial" w:cs="Arial"/>
        </w:rPr>
      </w:pPr>
      <w:r>
        <w:rPr>
          <w:rFonts w:ascii="Arial" w:hAnsi="Arial" w:cs="Arial"/>
        </w:rPr>
        <w:t>Существует риск возникновения ситуации, при которой убытки Клиента, возникающие в результате неблагоприятного изменения цены ценной бумаги и/или иностранной валюты и/или контракта, могут превысить размер средств, внесенных им в соответствии с договором на брокерское обслуживание.</w:t>
      </w:r>
    </w:p>
    <w:p w:rsidR="00F311D2" w:rsidRPr="002153CE" w:rsidRDefault="0032598C" w:rsidP="00E8361D">
      <w:pPr>
        <w:pStyle w:val="a3"/>
        <w:numPr>
          <w:ilvl w:val="2"/>
          <w:numId w:val="4"/>
        </w:numPr>
        <w:ind w:left="1560" w:hanging="709"/>
        <w:rPr>
          <w:rFonts w:ascii="Arial" w:hAnsi="Arial" w:cs="Arial"/>
        </w:rPr>
      </w:pPr>
      <w:r>
        <w:rPr>
          <w:rFonts w:ascii="Arial" w:hAnsi="Arial" w:cs="Arial"/>
        </w:rPr>
        <w:lastRenderedPageBreak/>
        <w:t>В соответствии с Регламентом, Брокер вправе в одностороннем порядке, без согласования с Клиентом, изменять Список ликвидных ценных бумаг (в т. ч. ограничить или запретить возможность возникновения непокрытой и/или временно непокрытой позиции по ценным бумагам, исключить ценную бумагу из множества ценных бумаг, коррелирующих с определенным индеском), правила определения курса иностранной валюты по отношению к рублю РФ, ставки риска увеличения/уменьшения стоимости активов Клиента, что может повлечь за собой необходимость закрытия всех или части открытых позиций Клиента, и, если Клиент не предпримет необходимых действий для поддержания стоимости ликвидного портфеля Клиента в размере не менее величины минимальной маржи и/или не закроет свои позиции самостоятельно, то его позиции могут быть закрыты принудительно.</w:t>
      </w:r>
    </w:p>
    <w:p w:rsidR="00F311D2" w:rsidRPr="002153CE" w:rsidRDefault="0032598C" w:rsidP="00E8361D">
      <w:pPr>
        <w:pStyle w:val="a3"/>
        <w:numPr>
          <w:ilvl w:val="1"/>
          <w:numId w:val="4"/>
        </w:numPr>
        <w:rPr>
          <w:rFonts w:ascii="Arial" w:hAnsi="Arial" w:cs="Arial"/>
        </w:rPr>
      </w:pPr>
      <w:r>
        <w:rPr>
          <w:rFonts w:ascii="Arial" w:hAnsi="Arial" w:cs="Arial"/>
        </w:rPr>
        <w:t>В случае если Клиент совершает операции с ценными бумагами и/или контрактами, цена которых номинирована в иностранной валюте или зависит от курса иностранной валюты и/или совершает сделки покупки/продажи иностранной валюты и/или имеет в составе Портфеля Клиента иностранную валюту, то Клиент должен учитывать риск возможного неблагоприятного изменения курса данной валюты по отношению к валюте, в которой производятся расчеты по заключенной сделке (в т. ч. возможное изменение размера гарантийного обеспечения из-за изменения курса валют), вследствие чего Клиент может понести значительные убытки при относительно небольшом изменении стоимости ценной бумаги и/или контракта.</w:t>
      </w:r>
    </w:p>
    <w:p w:rsidR="00F311D2" w:rsidRPr="002153CE" w:rsidRDefault="0032598C" w:rsidP="00E8361D">
      <w:pPr>
        <w:pStyle w:val="a3"/>
        <w:numPr>
          <w:ilvl w:val="1"/>
          <w:numId w:val="4"/>
        </w:numPr>
        <w:rPr>
          <w:rFonts w:ascii="Arial" w:hAnsi="Arial" w:cs="Arial"/>
        </w:rPr>
      </w:pPr>
      <w:r>
        <w:rPr>
          <w:rFonts w:ascii="Arial" w:hAnsi="Arial" w:cs="Arial"/>
        </w:rPr>
        <w:t>Вследствие условий, складывающихся на рынке контрактов и/или ценных бумаг и/или иностранных валют, может стать затруднительным или невозможным закрытие открытой Клиентом позиции.</w:t>
      </w:r>
    </w:p>
    <w:p w:rsidR="00F311D2" w:rsidRPr="002153CE" w:rsidRDefault="0032598C" w:rsidP="00E8361D">
      <w:pPr>
        <w:pStyle w:val="a3"/>
        <w:numPr>
          <w:ilvl w:val="1"/>
          <w:numId w:val="4"/>
        </w:numPr>
        <w:rPr>
          <w:rFonts w:ascii="Arial" w:hAnsi="Arial" w:cs="Arial"/>
        </w:rPr>
      </w:pPr>
      <w:r w:rsidRPr="0032598C">
        <w:rPr>
          <w:rFonts w:ascii="Arial" w:hAnsi="Arial" w:cs="Arial"/>
        </w:rPr>
        <w:t>Стоп-приказы</w:t>
      </w:r>
      <w:r w:rsidR="00F311D2" w:rsidRPr="002153CE">
        <w:rPr>
          <w:rFonts w:ascii="Arial" w:hAnsi="Arial" w:cs="Arial"/>
        </w:rPr>
        <w:t>, направленные на ограничение убытков, необязательно ограничат потери Клиента до предполагаемого уровня, так как в складывающейся на рынке сит</w:t>
      </w:r>
      <w:r>
        <w:rPr>
          <w:rFonts w:ascii="Arial" w:hAnsi="Arial" w:cs="Arial"/>
        </w:rPr>
        <w:t>уации может оказаться невозможным исполнить такое поручение по оговоренной цене.</w:t>
      </w:r>
    </w:p>
    <w:p w:rsidR="00F311D2" w:rsidRPr="002153CE" w:rsidRDefault="0032598C" w:rsidP="00E8361D">
      <w:pPr>
        <w:pStyle w:val="a3"/>
        <w:numPr>
          <w:ilvl w:val="1"/>
          <w:numId w:val="4"/>
        </w:numPr>
        <w:rPr>
          <w:rFonts w:ascii="Arial" w:hAnsi="Arial" w:cs="Arial"/>
        </w:rPr>
      </w:pPr>
      <w:r>
        <w:rPr>
          <w:rFonts w:ascii="Arial" w:hAnsi="Arial" w:cs="Arial"/>
        </w:rPr>
        <w:t>При учете денежных средств Клиента на одном счете с денежными средствами других клиентов и (или) при предоставлении Брокеру возможности использовать их в собственных интересах, в том числе при зачислении денежных средств на собственный счет Брокера, существует вероятность появления неблагоприятных обстоятельств, которые при некоторых условиях могут повлечь возникновение одного или нескольких рисков: технического, операционного, риска ликвидности и др.</w:t>
      </w:r>
    </w:p>
    <w:p w:rsidR="00F311D2" w:rsidRPr="002153CE" w:rsidRDefault="00F311D2" w:rsidP="00F311D2">
      <w:pPr>
        <w:pStyle w:val="a3"/>
        <w:ind w:firstLine="284"/>
        <w:rPr>
          <w:rFonts w:ascii="Arial" w:hAnsi="Arial" w:cs="Arial"/>
        </w:rPr>
      </w:pPr>
    </w:p>
    <w:p w:rsidR="00F311D2" w:rsidRPr="002153CE" w:rsidRDefault="0032598C" w:rsidP="00355EE1">
      <w:pPr>
        <w:pStyle w:val="2"/>
        <w:keepLines w:val="0"/>
        <w:numPr>
          <w:ilvl w:val="0"/>
          <w:numId w:val="5"/>
        </w:numPr>
        <w:spacing w:before="120"/>
        <w:jc w:val="both"/>
        <w:rPr>
          <w:rFonts w:cs="Arial"/>
        </w:rPr>
      </w:pPr>
      <w:r>
        <w:rPr>
          <w:rFonts w:cs="Arial"/>
        </w:rPr>
        <w:t>Риски, связанные с заключением договоров, являющихся производными финансовыми инструментами</w:t>
      </w:r>
    </w:p>
    <w:p w:rsidR="00F311D2" w:rsidRPr="002153CE" w:rsidRDefault="00F311D2" w:rsidP="00F311D2">
      <w:pPr>
        <w:pStyle w:val="a3"/>
        <w:ind w:firstLine="284"/>
        <w:rPr>
          <w:rFonts w:ascii="Arial" w:hAnsi="Arial" w:cs="Arial"/>
        </w:rPr>
      </w:pPr>
    </w:p>
    <w:p w:rsidR="00F311D2" w:rsidRPr="002153CE" w:rsidRDefault="0032598C" w:rsidP="00355EE1">
      <w:pPr>
        <w:pStyle w:val="a3"/>
        <w:numPr>
          <w:ilvl w:val="1"/>
          <w:numId w:val="5"/>
        </w:numPr>
        <w:rPr>
          <w:rFonts w:ascii="Arial" w:hAnsi="Arial" w:cs="Arial"/>
        </w:rPr>
      </w:pPr>
      <w:r>
        <w:rPr>
          <w:rFonts w:ascii="Arial" w:hAnsi="Arial" w:cs="Arial"/>
        </w:rPr>
        <w:t>Данные инструменты подходят не всем Клиентам. Более того, некоторые виды производных финансовых инструментов сопряжены с большим уровнем риска, чем другие. Так, при покупке опционного контракта потери Клиента не превысят величину уплаченных премии, вознаграждения и расходов, связанных с их совершением. Продажа опционных контрактов с точки зрения риска Клиента и заключение фьючерсных контрактов, форвардных контрактов и своп контрактов сопоставимы — при относительно небольших неблагоприятных колебаниях цен на рынке Клиент подвергается риску значительных убытков, при этом в случае продажи фьючерсных и форвардных контрактов и продажи опционов на покупку (опционов «колл») неограниченных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w:t>
      </w:r>
    </w:p>
    <w:p w:rsidR="00F311D2" w:rsidRPr="002153CE" w:rsidRDefault="0032598C" w:rsidP="00355EE1">
      <w:pPr>
        <w:pStyle w:val="a3"/>
        <w:tabs>
          <w:tab w:val="clear" w:pos="2160"/>
        </w:tabs>
        <w:ind w:left="792" w:firstLine="0"/>
        <w:rPr>
          <w:rFonts w:ascii="Arial" w:hAnsi="Arial" w:cs="Arial"/>
        </w:rPr>
      </w:pPr>
      <w:r>
        <w:rPr>
          <w:rFonts w:ascii="Arial" w:hAnsi="Arial" w:cs="Arial"/>
        </w:rPr>
        <w:t>Настоящая декларация относится также и к производным финансовым инструментам, направленным на снижение рисков других операций на Фондовом рынке. Клиенту следует внимательно оценить, как его производные финансовые инструменты соотносятся с операциями, риски по которым Клиент намерен ограничить, и убедиться, что объем позиции Клиента на срочном рынке соответствует объему позиции на спот рынке, которую Клиент хеджирует.</w:t>
      </w:r>
    </w:p>
    <w:p w:rsidR="00F311D2" w:rsidRPr="002153CE" w:rsidRDefault="00F311D2" w:rsidP="00355EE1">
      <w:pPr>
        <w:pStyle w:val="a3"/>
        <w:tabs>
          <w:tab w:val="clear" w:pos="2160"/>
        </w:tabs>
        <w:ind w:left="792" w:firstLine="0"/>
        <w:rPr>
          <w:rFonts w:ascii="Arial" w:hAnsi="Arial" w:cs="Arial"/>
        </w:rPr>
      </w:pPr>
    </w:p>
    <w:p w:rsidR="00F311D2" w:rsidRPr="002153CE" w:rsidRDefault="0032598C" w:rsidP="00355EE1">
      <w:pPr>
        <w:pStyle w:val="a3"/>
        <w:numPr>
          <w:ilvl w:val="1"/>
          <w:numId w:val="5"/>
        </w:numPr>
        <w:rPr>
          <w:rFonts w:ascii="Arial" w:hAnsi="Arial" w:cs="Arial"/>
        </w:rPr>
      </w:pPr>
      <w:r>
        <w:rPr>
          <w:rFonts w:ascii="Arial" w:hAnsi="Arial" w:cs="Arial"/>
        </w:rPr>
        <w:lastRenderedPageBreak/>
        <w:t>Рыночный (ценовой) риск</w:t>
      </w:r>
    </w:p>
    <w:p w:rsidR="00F311D2" w:rsidRPr="002153CE" w:rsidRDefault="0032598C" w:rsidP="00355EE1">
      <w:pPr>
        <w:pStyle w:val="a3"/>
        <w:tabs>
          <w:tab w:val="clear" w:pos="2160"/>
        </w:tabs>
        <w:ind w:left="792" w:firstLine="0"/>
        <w:rPr>
          <w:rFonts w:ascii="Arial" w:hAnsi="Arial" w:cs="Arial"/>
        </w:rPr>
      </w:pPr>
      <w:r>
        <w:rPr>
          <w:rFonts w:ascii="Arial" w:hAnsi="Arial" w:cs="Arial"/>
        </w:rPr>
        <w:t>Помимо общего рыночного (ценового) риска, который несет Клиент, совершающий операции на рынке ценных бумаг, в случае заключения фьючерсных, форвардных и своп договоров (контрактов), а также в случае продажи опционных контрактов, Клиент будет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w:t>
      </w:r>
    </w:p>
    <w:p w:rsidR="00F311D2" w:rsidRPr="002153CE" w:rsidRDefault="0032598C" w:rsidP="00355EE1">
      <w:pPr>
        <w:pStyle w:val="a3"/>
        <w:tabs>
          <w:tab w:val="clear" w:pos="2160"/>
        </w:tabs>
        <w:ind w:left="792" w:firstLine="0"/>
        <w:rPr>
          <w:rFonts w:ascii="Arial" w:hAnsi="Arial" w:cs="Arial"/>
        </w:rPr>
      </w:pPr>
      <w:r>
        <w:rPr>
          <w:rFonts w:ascii="Arial" w:hAnsi="Arial" w:cs="Arial"/>
        </w:rPr>
        <w:t>В случае неблагоприятного изменения цены Клиент может в сравнительно короткий срок потерять средства, являющиеся обеспечением производных финансовых инструментов.</w:t>
      </w:r>
    </w:p>
    <w:p w:rsidR="00F311D2" w:rsidRPr="002153CE" w:rsidRDefault="00F311D2" w:rsidP="00355EE1">
      <w:pPr>
        <w:pStyle w:val="a3"/>
        <w:tabs>
          <w:tab w:val="clear" w:pos="2160"/>
        </w:tabs>
        <w:ind w:left="792" w:firstLine="0"/>
        <w:rPr>
          <w:rFonts w:ascii="Arial" w:hAnsi="Arial" w:cs="Arial"/>
        </w:rPr>
      </w:pPr>
    </w:p>
    <w:p w:rsidR="00F311D2" w:rsidRPr="002153CE" w:rsidRDefault="0032598C" w:rsidP="00355EE1">
      <w:pPr>
        <w:pStyle w:val="a3"/>
        <w:numPr>
          <w:ilvl w:val="1"/>
          <w:numId w:val="5"/>
        </w:numPr>
        <w:rPr>
          <w:rFonts w:ascii="Arial" w:hAnsi="Arial" w:cs="Arial"/>
        </w:rPr>
      </w:pPr>
      <w:r>
        <w:rPr>
          <w:rFonts w:ascii="Arial" w:hAnsi="Arial" w:cs="Arial"/>
        </w:rPr>
        <w:t>Риск ликвидности</w:t>
      </w:r>
    </w:p>
    <w:p w:rsidR="00F311D2" w:rsidRPr="002153CE" w:rsidRDefault="0032598C" w:rsidP="00355EE1">
      <w:pPr>
        <w:pStyle w:val="a3"/>
        <w:tabs>
          <w:tab w:val="clear" w:pos="2160"/>
        </w:tabs>
        <w:ind w:left="792" w:firstLine="0"/>
        <w:rPr>
          <w:rFonts w:ascii="Arial" w:hAnsi="Arial" w:cs="Arial"/>
        </w:rPr>
      </w:pPr>
      <w:r>
        <w:rPr>
          <w:rFonts w:ascii="Arial" w:hAnsi="Arial" w:cs="Arial"/>
        </w:rPr>
        <w:t>Если инвестиционная стратегия Клиента предусматривает возможность возникновения необходимости закрытия позиции по соответствующему контракту (или заключения сделки с иным контрактом, которая снижает риск по данному контракту), Клиенту следует обращать внимание на ликвидность соответствующих контрактов, так как закрытие позиций по неликвидным контрактам может привести к значительным дополнительным убыткам в связи с их низкой ликвидностью. Клиенту следует обращать внимание, что, как правило, контракты с более отдаленными сроками исполнения менее ликвидны по сравнению с контрактами с ближайшими  сроками исполнения.</w:t>
      </w:r>
    </w:p>
    <w:p w:rsidR="00F311D2" w:rsidRPr="002153CE" w:rsidRDefault="0032598C" w:rsidP="00355EE1">
      <w:pPr>
        <w:pStyle w:val="a3"/>
        <w:tabs>
          <w:tab w:val="clear" w:pos="2160"/>
        </w:tabs>
        <w:ind w:left="792" w:firstLine="0"/>
        <w:rPr>
          <w:rFonts w:ascii="Arial" w:hAnsi="Arial" w:cs="Arial"/>
        </w:rPr>
      </w:pPr>
      <w:r>
        <w:rPr>
          <w:rFonts w:ascii="Arial" w:hAnsi="Arial" w:cs="Arial"/>
        </w:rPr>
        <w:t>Если заключенный Клиентом договор, являющийся производным финансовым инструментом, неликвиден, и у Клиента возникла необходимость закрыть позицию, Клиенту следует обязательно рассматривать помимо закрытия позиции по данному контракту альтернативные варианты исключения риска посредством заключения сделок с иными производными финансовыми инструментами или с базисными активами. Использование альтернативных вариантов может привести к меньшим убыткам.</w:t>
      </w:r>
    </w:p>
    <w:p w:rsidR="00F311D2" w:rsidRPr="002153CE" w:rsidRDefault="0032598C" w:rsidP="00355EE1">
      <w:pPr>
        <w:pStyle w:val="a3"/>
        <w:tabs>
          <w:tab w:val="clear" w:pos="2160"/>
        </w:tabs>
        <w:ind w:left="792" w:firstLine="0"/>
        <w:rPr>
          <w:rFonts w:ascii="Arial" w:hAnsi="Arial" w:cs="Arial"/>
        </w:rPr>
      </w:pPr>
      <w:r>
        <w:rPr>
          <w:rFonts w:ascii="Arial" w:hAnsi="Arial" w:cs="Arial"/>
        </w:rPr>
        <w:t>При этом трудности с закрытием позиций и потери в цене могут привести к увеличению убытков по сравнению с обычными сделками.</w:t>
      </w:r>
    </w:p>
    <w:p w:rsidR="00F311D2" w:rsidRPr="002153CE" w:rsidRDefault="0032598C" w:rsidP="00355EE1">
      <w:pPr>
        <w:pStyle w:val="a3"/>
        <w:tabs>
          <w:tab w:val="clear" w:pos="2160"/>
        </w:tabs>
        <w:ind w:left="792" w:firstLine="0"/>
        <w:rPr>
          <w:rFonts w:ascii="Arial" w:hAnsi="Arial" w:cs="Arial"/>
        </w:rPr>
      </w:pPr>
      <w:r>
        <w:rPr>
          <w:rFonts w:ascii="Arial" w:hAnsi="Arial" w:cs="Arial"/>
        </w:rPr>
        <w:t>Поручения Клиента,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Клиентом цене может оказаться невозможным.</w:t>
      </w:r>
    </w:p>
    <w:p w:rsidR="00F311D2" w:rsidRPr="002153CE" w:rsidRDefault="00F311D2" w:rsidP="00355EE1">
      <w:pPr>
        <w:pStyle w:val="a3"/>
        <w:tabs>
          <w:tab w:val="clear" w:pos="2160"/>
        </w:tabs>
        <w:ind w:left="792" w:firstLine="0"/>
        <w:rPr>
          <w:rFonts w:ascii="Arial" w:hAnsi="Arial" w:cs="Arial"/>
        </w:rPr>
      </w:pPr>
    </w:p>
    <w:p w:rsidR="00F311D2" w:rsidRPr="002153CE" w:rsidRDefault="0032598C" w:rsidP="00355EE1">
      <w:pPr>
        <w:pStyle w:val="a3"/>
        <w:numPr>
          <w:ilvl w:val="1"/>
          <w:numId w:val="5"/>
        </w:numPr>
        <w:rPr>
          <w:rFonts w:ascii="Arial" w:hAnsi="Arial" w:cs="Arial"/>
        </w:rPr>
      </w:pPr>
      <w:r>
        <w:rPr>
          <w:rFonts w:ascii="Arial" w:hAnsi="Arial" w:cs="Arial"/>
        </w:rPr>
        <w:t>Ограничение распоряжения средствами, являющимися обеспечением</w:t>
      </w:r>
    </w:p>
    <w:p w:rsidR="00F311D2" w:rsidRPr="002153CE" w:rsidRDefault="0032598C" w:rsidP="00355EE1">
      <w:pPr>
        <w:pStyle w:val="a3"/>
        <w:tabs>
          <w:tab w:val="clear" w:pos="2160"/>
        </w:tabs>
        <w:ind w:left="792" w:firstLine="0"/>
        <w:rPr>
          <w:rFonts w:ascii="Arial" w:hAnsi="Arial" w:cs="Arial"/>
        </w:rPr>
      </w:pPr>
      <w:r>
        <w:rPr>
          <w:rFonts w:ascii="Arial" w:hAnsi="Arial" w:cs="Arial"/>
        </w:rPr>
        <w:t>Имущество (часть имущества), принадлежащее Клиенту, в результате заключения договора, являющегося производным финансовым инструментом, будет являться обеспечением исполнения обязательств Клиента по договору и распоряжение им, то есть возможность совершения  Клиентом сделок с ним, будет ограничено. Размер обеспечения изменяется в порядке, предусмотренном договором (спецификацией контракта), и в результате Клиент может быть ограничен в возможности распоряжаться своим имуществом в большей степени, чем до заключения договора.</w:t>
      </w:r>
    </w:p>
    <w:p w:rsidR="00583F69" w:rsidRPr="002153CE" w:rsidRDefault="00583F69" w:rsidP="00583F69">
      <w:pPr>
        <w:pStyle w:val="a3"/>
        <w:tabs>
          <w:tab w:val="clear" w:pos="2160"/>
        </w:tabs>
        <w:ind w:left="792" w:firstLine="0"/>
        <w:rPr>
          <w:rFonts w:ascii="Arial" w:hAnsi="Arial" w:cs="Arial"/>
        </w:rPr>
      </w:pPr>
    </w:p>
    <w:p w:rsidR="00F311D2" w:rsidRPr="002153CE" w:rsidRDefault="0032598C" w:rsidP="00355EE1">
      <w:pPr>
        <w:pStyle w:val="a3"/>
        <w:numPr>
          <w:ilvl w:val="1"/>
          <w:numId w:val="5"/>
        </w:numPr>
        <w:rPr>
          <w:rFonts w:ascii="Arial" w:hAnsi="Arial" w:cs="Arial"/>
        </w:rPr>
      </w:pPr>
      <w:r>
        <w:rPr>
          <w:rFonts w:ascii="Arial" w:hAnsi="Arial" w:cs="Arial"/>
        </w:rPr>
        <w:t>Риск принудительного закрытия позиции</w:t>
      </w:r>
    </w:p>
    <w:p w:rsidR="00F311D2" w:rsidRPr="002153CE" w:rsidRDefault="0032598C" w:rsidP="00355EE1">
      <w:pPr>
        <w:pStyle w:val="a3"/>
        <w:tabs>
          <w:tab w:val="clear" w:pos="2160"/>
        </w:tabs>
        <w:ind w:left="792" w:firstLine="0"/>
        <w:rPr>
          <w:rFonts w:ascii="Arial" w:hAnsi="Arial" w:cs="Arial"/>
        </w:rPr>
      </w:pPr>
      <w:r>
        <w:rPr>
          <w:rFonts w:ascii="Arial" w:hAnsi="Arial" w:cs="Arial"/>
        </w:rPr>
        <w:t>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которого может быть недостаточно для Клиента. Брокер в этом случае вправе без дополнительного согласия Клиента «принудительно закрыть позицию», то есть заключить договор, являющийся производным финансовым инструментом, или приобрести ценные бумаги за счет денежных средств Клиента, или продать ценные бумаги Клиента. Это может быть сделано по существующим, в том числе невыгодным, ценам и привести к возникновению у Клиента убытков.</w:t>
      </w:r>
    </w:p>
    <w:p w:rsidR="00F311D2" w:rsidRPr="002153CE" w:rsidRDefault="0032598C" w:rsidP="00355EE1">
      <w:pPr>
        <w:pStyle w:val="a3"/>
        <w:tabs>
          <w:tab w:val="clear" w:pos="2160"/>
        </w:tabs>
        <w:ind w:left="792" w:firstLine="0"/>
        <w:rPr>
          <w:rFonts w:ascii="Arial" w:hAnsi="Arial" w:cs="Arial"/>
        </w:rPr>
      </w:pPr>
      <w:r>
        <w:rPr>
          <w:rFonts w:ascii="Arial" w:hAnsi="Arial" w:cs="Arial"/>
        </w:rPr>
        <w:t>Принудительное закрытие позиции направлено на управление рисками. Клиент может понести значительные убытки несмотря на то, что после этого изменение цен на финансовые инструменты может принять благоприятное для Клиента направление и Клиент получил бы доход, если бы его позиция не была закрыта.</w:t>
      </w:r>
    </w:p>
    <w:p w:rsidR="00F311D2" w:rsidRPr="002153CE" w:rsidRDefault="0032598C" w:rsidP="00355EE1">
      <w:pPr>
        <w:pStyle w:val="2"/>
        <w:keepLines w:val="0"/>
        <w:numPr>
          <w:ilvl w:val="0"/>
          <w:numId w:val="5"/>
        </w:numPr>
        <w:spacing w:before="120"/>
        <w:jc w:val="both"/>
        <w:rPr>
          <w:rFonts w:cs="Arial"/>
        </w:rPr>
      </w:pPr>
      <w:r>
        <w:rPr>
          <w:rFonts w:cs="Arial"/>
        </w:rPr>
        <w:lastRenderedPageBreak/>
        <w:t>Риски, связанные с приобретением иностранных ценных бумаги (или)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w:t>
      </w:r>
    </w:p>
    <w:p w:rsidR="00F311D2" w:rsidRPr="002153CE" w:rsidRDefault="00F311D2" w:rsidP="00355EE1">
      <w:pPr>
        <w:pStyle w:val="a3"/>
        <w:tabs>
          <w:tab w:val="clear" w:pos="2160"/>
        </w:tabs>
        <w:ind w:left="792" w:firstLine="0"/>
        <w:rPr>
          <w:rFonts w:ascii="Arial" w:hAnsi="Arial" w:cs="Arial"/>
        </w:rPr>
      </w:pPr>
    </w:p>
    <w:p w:rsidR="00F311D2" w:rsidRPr="002153CE" w:rsidRDefault="0032598C" w:rsidP="00355EE1">
      <w:pPr>
        <w:pStyle w:val="a3"/>
        <w:tabs>
          <w:tab w:val="clear" w:pos="2160"/>
        </w:tabs>
        <w:ind w:left="792" w:firstLine="0"/>
        <w:rPr>
          <w:rFonts w:ascii="Arial" w:hAnsi="Arial" w:cs="Arial"/>
        </w:rPr>
      </w:pPr>
      <w:r>
        <w:rPr>
          <w:rFonts w:ascii="Arial" w:hAnsi="Arial" w:cs="Arial"/>
        </w:rPr>
        <w:t>В случае если Клиент совершает сделки, связанные с приобретением иностранных ценных бумаг как за рубежом, так и на российском, в том числе организованном, фондовом рынке, и (или)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Клиент осведомлен, что таким сделкам присущи общие риски, связанные с операциями на финансовых рынках со следующими особенностями:</w:t>
      </w:r>
    </w:p>
    <w:p w:rsidR="00F311D2" w:rsidRPr="002153CE" w:rsidRDefault="00F311D2" w:rsidP="00F311D2">
      <w:pPr>
        <w:pStyle w:val="a3"/>
        <w:ind w:firstLine="284"/>
        <w:rPr>
          <w:rFonts w:ascii="Arial" w:hAnsi="Arial" w:cs="Arial"/>
        </w:rPr>
      </w:pPr>
    </w:p>
    <w:p w:rsidR="00F311D2" w:rsidRPr="002153CE" w:rsidRDefault="0032598C" w:rsidP="00355EE1">
      <w:pPr>
        <w:pStyle w:val="a3"/>
        <w:numPr>
          <w:ilvl w:val="1"/>
          <w:numId w:val="5"/>
        </w:numPr>
        <w:rPr>
          <w:rFonts w:ascii="Arial" w:hAnsi="Arial" w:cs="Arial"/>
        </w:rPr>
      </w:pPr>
      <w:r>
        <w:rPr>
          <w:rFonts w:ascii="Arial" w:hAnsi="Arial" w:cs="Arial"/>
        </w:rPr>
        <w:t>Системные риски:</w:t>
      </w:r>
    </w:p>
    <w:p w:rsidR="00F311D2" w:rsidRPr="002153CE" w:rsidRDefault="00F311D2" w:rsidP="00F311D2">
      <w:pPr>
        <w:pStyle w:val="a3"/>
        <w:ind w:firstLine="284"/>
        <w:rPr>
          <w:rFonts w:ascii="Arial" w:hAnsi="Arial" w:cs="Arial"/>
        </w:rPr>
      </w:pPr>
    </w:p>
    <w:p w:rsidR="00F311D2" w:rsidRPr="002153CE" w:rsidRDefault="0032598C" w:rsidP="00355EE1">
      <w:pPr>
        <w:pStyle w:val="a3"/>
        <w:tabs>
          <w:tab w:val="clear" w:pos="2160"/>
        </w:tabs>
        <w:ind w:left="792" w:firstLine="0"/>
        <w:rPr>
          <w:rFonts w:ascii="Arial" w:hAnsi="Arial" w:cs="Arial"/>
        </w:rPr>
      </w:pPr>
      <w:r>
        <w:rPr>
          <w:rFonts w:ascii="Arial" w:hAnsi="Arial" w:cs="Arial"/>
        </w:rPr>
        <w:t>Применительно к иностранным ценным бумагам, а также к базисному активу производных финансовых инструментов – ценным бумагам иностранных эмитентов и индексам, рассчитанным по таким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бумаги.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развитости финансовой системы страны места нахождения лица, обязанного по иностранной ценной бумаге.</w:t>
      </w:r>
    </w:p>
    <w:p w:rsidR="00F311D2" w:rsidRPr="002153CE" w:rsidRDefault="0032598C" w:rsidP="00355EE1">
      <w:pPr>
        <w:pStyle w:val="a3"/>
        <w:tabs>
          <w:tab w:val="clear" w:pos="2160"/>
        </w:tabs>
        <w:ind w:left="792" w:firstLine="0"/>
        <w:rPr>
          <w:rFonts w:ascii="Arial" w:hAnsi="Arial" w:cs="Arial"/>
        </w:rPr>
      </w:pPr>
      <w:r>
        <w:rPr>
          <w:rFonts w:ascii="Arial" w:hAnsi="Arial" w:cs="Arial"/>
        </w:rPr>
        <w:t>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Общепринятой интегральной оценкой системного риска инвестиций в иностранную ценную бумагу является «суверенный рейтинг» в иностранной или национальной валюте, присвоенный стране, в которой зарегистрирован эмитент,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
    <w:p w:rsidR="00F311D2" w:rsidRPr="002153CE" w:rsidRDefault="0032598C" w:rsidP="00355EE1">
      <w:pPr>
        <w:pStyle w:val="a3"/>
        <w:tabs>
          <w:tab w:val="clear" w:pos="2160"/>
        </w:tabs>
        <w:ind w:left="792" w:firstLine="0"/>
        <w:rPr>
          <w:rFonts w:ascii="Arial" w:hAnsi="Arial" w:cs="Arial"/>
        </w:rPr>
      </w:pPr>
      <w:r>
        <w:rPr>
          <w:rFonts w:ascii="Arial" w:hAnsi="Arial" w:cs="Arial"/>
        </w:rPr>
        <w:t>В случае совершения сделок с иностранными депозитарными расписками помимо рисков, связанных с эмитентом самих расписок, необходимо учитывать и риски, связанные с эмитентом представляемых данными расписками иностранных ценных бумаг.</w:t>
      </w:r>
    </w:p>
    <w:p w:rsidR="00F311D2" w:rsidRPr="002153CE" w:rsidRDefault="0032598C" w:rsidP="00355EE1">
      <w:pPr>
        <w:pStyle w:val="a3"/>
        <w:tabs>
          <w:tab w:val="clear" w:pos="2160"/>
        </w:tabs>
        <w:ind w:left="792" w:firstLine="0"/>
        <w:rPr>
          <w:rFonts w:ascii="Arial" w:hAnsi="Arial" w:cs="Arial"/>
        </w:rPr>
      </w:pPr>
      <w:r>
        <w:rPr>
          <w:rFonts w:ascii="Arial" w:hAnsi="Arial" w:cs="Arial"/>
        </w:rPr>
        <w:t>В настоящее время законодательство разрешает российскими инвесторами, в том числе не являющимися квалифицированными, приобретение допущенных к публичному размещению и (или) публичному обращению в Российской Федерации иностранных ценных бумаг как за рубежом, так и в Российской Федерации, а также позволяет учет прав на такие ценные бумаги российскими депозитариями, а также допускает возможность заключения российскими инвесторами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Между тем, существуют риски изменения регулятивных подходов к соответствующим операциям, в том числе к владению и операциям, а также к учету прав на иностранные финансовые инструменты, в результате чего может возникнуть необходимость по их отчуждению вопреки планам Клиента.</w:t>
      </w:r>
    </w:p>
    <w:p w:rsidR="00F311D2" w:rsidRPr="002153CE" w:rsidRDefault="00F311D2" w:rsidP="008E00D7">
      <w:pPr>
        <w:pStyle w:val="a3"/>
        <w:tabs>
          <w:tab w:val="clear" w:pos="2160"/>
        </w:tabs>
        <w:ind w:left="792" w:firstLine="0"/>
        <w:rPr>
          <w:rFonts w:ascii="Arial" w:hAnsi="Arial" w:cs="Arial"/>
        </w:rPr>
      </w:pPr>
    </w:p>
    <w:p w:rsidR="00F311D2" w:rsidRPr="002153CE" w:rsidRDefault="0032598C" w:rsidP="00355EE1">
      <w:pPr>
        <w:pStyle w:val="a3"/>
        <w:numPr>
          <w:ilvl w:val="1"/>
          <w:numId w:val="5"/>
        </w:numPr>
        <w:rPr>
          <w:rFonts w:ascii="Arial" w:hAnsi="Arial" w:cs="Arial"/>
        </w:rPr>
      </w:pPr>
      <w:r>
        <w:rPr>
          <w:rFonts w:ascii="Arial" w:hAnsi="Arial" w:cs="Arial"/>
        </w:rPr>
        <w:t>Правовые риски</w:t>
      </w:r>
    </w:p>
    <w:p w:rsidR="00F311D2" w:rsidRPr="002153CE" w:rsidRDefault="0032598C" w:rsidP="00355EE1">
      <w:pPr>
        <w:pStyle w:val="a3"/>
        <w:tabs>
          <w:tab w:val="clear" w:pos="2160"/>
        </w:tabs>
        <w:ind w:left="792" w:firstLine="0"/>
        <w:rPr>
          <w:rFonts w:ascii="Arial" w:hAnsi="Arial" w:cs="Arial"/>
        </w:rPr>
      </w:pPr>
      <w:r>
        <w:rPr>
          <w:rFonts w:ascii="Arial" w:hAnsi="Arial" w:cs="Arial"/>
        </w:rPr>
        <w:lastRenderedPageBreak/>
        <w:t>При приобретении иностранных ценных бумаг/заключении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необходимо знать, что иностранные ценные бумаги/иностранные финансовые инструменты, являющиеся базисными активами производных финансовых инструментов, не всегда являются аналогами российских ценных бумаг/российских финансовых инструментов. В любом случае, предоставляемые по ним права и правила их осуществления могут существенно отличаться от прав по российским ценным бумагам/российским финансовым инструментам.</w:t>
      </w:r>
    </w:p>
    <w:p w:rsidR="00F311D2" w:rsidRPr="002153CE" w:rsidRDefault="0032598C" w:rsidP="00355EE1">
      <w:pPr>
        <w:pStyle w:val="a3"/>
        <w:tabs>
          <w:tab w:val="clear" w:pos="2160"/>
        </w:tabs>
        <w:ind w:left="792" w:firstLine="0"/>
        <w:rPr>
          <w:rFonts w:ascii="Arial" w:hAnsi="Arial" w:cs="Arial"/>
        </w:rPr>
      </w:pPr>
      <w:r>
        <w:rPr>
          <w:rFonts w:ascii="Arial" w:hAnsi="Arial" w:cs="Arial"/>
        </w:rPr>
        <w:t>Возможности судебной защиты прав по иностранным ценным бумагам/производным финансовым инструментам, базисным активом которых являются ценные бумаги иностранных эмитентов или индексы, рассчитанные по таким ценным бумагам,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от действующих в Российской Федерации. Кроме того, Клиент в большинстве случаев не сможет полагаться на защиту своих прав и законных интересов российскими уполномоченными органами.</w:t>
      </w:r>
    </w:p>
    <w:p w:rsidR="00F311D2" w:rsidRPr="002153CE" w:rsidRDefault="00F311D2" w:rsidP="00F311D2">
      <w:pPr>
        <w:pStyle w:val="a3"/>
        <w:ind w:firstLine="284"/>
        <w:rPr>
          <w:rFonts w:ascii="Arial" w:hAnsi="Arial" w:cs="Arial"/>
        </w:rPr>
      </w:pPr>
    </w:p>
    <w:p w:rsidR="00F311D2" w:rsidRPr="002153CE" w:rsidRDefault="0032598C" w:rsidP="00355EE1">
      <w:pPr>
        <w:pStyle w:val="a3"/>
        <w:numPr>
          <w:ilvl w:val="1"/>
          <w:numId w:val="5"/>
        </w:numPr>
        <w:rPr>
          <w:rFonts w:ascii="Arial" w:hAnsi="Arial" w:cs="Arial"/>
        </w:rPr>
      </w:pPr>
      <w:r>
        <w:rPr>
          <w:rFonts w:ascii="Arial" w:hAnsi="Arial" w:cs="Arial"/>
        </w:rPr>
        <w:t>Раскрытие информации</w:t>
      </w:r>
    </w:p>
    <w:p w:rsidR="007E179A" w:rsidRPr="002153CE" w:rsidRDefault="0032598C" w:rsidP="007E179A">
      <w:pPr>
        <w:pStyle w:val="a3"/>
        <w:tabs>
          <w:tab w:val="clear" w:pos="2160"/>
        </w:tabs>
        <w:ind w:left="792" w:firstLine="0"/>
        <w:rPr>
          <w:rFonts w:ascii="Arial" w:hAnsi="Arial" w:cs="Arial"/>
        </w:rPr>
      </w:pPr>
      <w:r>
        <w:rPr>
          <w:rFonts w:ascii="Arial" w:hAnsi="Arial" w:cs="Arial"/>
        </w:rPr>
        <w:t>Российское законодательство допускает раскрытие информации в отношении ценных бумаг иностранных эмитентом, в том числе являющихся базисным активом производных финансовых инструментов, на русском языке или на используемом на финансовом рынке иностранном языке в соответствии с требованиями иностранной биржи, на которой ценные бумаги иностранных эмитентов включены в основной (официальный) список.</w:t>
      </w:r>
    </w:p>
    <w:p w:rsidR="00F311D2" w:rsidRPr="002153CE" w:rsidRDefault="0032598C" w:rsidP="00D55E31">
      <w:pPr>
        <w:pStyle w:val="a3"/>
        <w:tabs>
          <w:tab w:val="clear" w:pos="2160"/>
        </w:tabs>
        <w:ind w:left="792" w:firstLine="0"/>
        <w:rPr>
          <w:rFonts w:ascii="Arial" w:hAnsi="Arial" w:cs="Arial"/>
        </w:rPr>
      </w:pPr>
      <w:r>
        <w:rPr>
          <w:rFonts w:ascii="Arial" w:hAnsi="Arial" w:cs="Arial"/>
        </w:rPr>
        <w:t>Клиенту следует оценить свою готовность анализировать информацию на</w:t>
      </w:r>
      <w:r w:rsidR="00664C37" w:rsidRPr="00664C37">
        <w:rPr>
          <w:rFonts w:ascii="Arial" w:hAnsi="Arial" w:cs="Arial"/>
        </w:rPr>
        <w:t xml:space="preserve"> </w:t>
      </w:r>
      <w:r>
        <w:rPr>
          <w:rFonts w:ascii="Arial" w:hAnsi="Arial" w:cs="Arial"/>
        </w:rPr>
        <w:t>иностранном  языке, а также то, понимает ли Клиент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о ценных бумагах иностранного эмитента.</w:t>
      </w:r>
    </w:p>
    <w:p w:rsidR="00F311D2" w:rsidRPr="002153CE" w:rsidRDefault="0032598C" w:rsidP="00355EE1">
      <w:pPr>
        <w:pStyle w:val="a3"/>
        <w:tabs>
          <w:tab w:val="clear" w:pos="2160"/>
        </w:tabs>
        <w:ind w:left="792" w:firstLine="0"/>
        <w:rPr>
          <w:rFonts w:ascii="Arial" w:hAnsi="Arial" w:cs="Arial"/>
        </w:rPr>
      </w:pPr>
      <w:r>
        <w:rPr>
          <w:rFonts w:ascii="Arial" w:hAnsi="Arial" w:cs="Arial"/>
        </w:rPr>
        <w:t>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удобства Клиента.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необходимо учитывать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p w:rsidR="00F311D2" w:rsidRPr="002153CE" w:rsidRDefault="00F311D2" w:rsidP="00355EE1">
      <w:pPr>
        <w:pStyle w:val="a3"/>
        <w:tabs>
          <w:tab w:val="clear" w:pos="2160"/>
        </w:tabs>
        <w:ind w:left="792" w:firstLine="0"/>
        <w:rPr>
          <w:rFonts w:ascii="Arial" w:hAnsi="Arial" w:cs="Arial"/>
        </w:rPr>
      </w:pPr>
    </w:p>
    <w:p w:rsidR="00F311D2" w:rsidRPr="002153CE" w:rsidRDefault="0032598C" w:rsidP="00355EE1">
      <w:pPr>
        <w:pStyle w:val="a3"/>
        <w:tabs>
          <w:tab w:val="clear" w:pos="2160"/>
        </w:tabs>
        <w:ind w:left="792" w:firstLine="0"/>
        <w:rPr>
          <w:rFonts w:ascii="Arial" w:hAnsi="Arial" w:cs="Arial"/>
        </w:rPr>
      </w:pPr>
      <w:r>
        <w:rPr>
          <w:rFonts w:ascii="Arial" w:hAnsi="Arial" w:cs="Arial"/>
        </w:rPr>
        <w:t>Настоящее предупреждение не раскрывает всех рисков, связанных с проведением операций на финансовом рынке ценных.</w:t>
      </w:r>
    </w:p>
    <w:p w:rsidR="00F311D2" w:rsidRPr="002153CE" w:rsidRDefault="0032598C" w:rsidP="00355EE1">
      <w:pPr>
        <w:pStyle w:val="a3"/>
        <w:tabs>
          <w:tab w:val="clear" w:pos="2160"/>
        </w:tabs>
        <w:ind w:left="792" w:firstLine="0"/>
        <w:rPr>
          <w:rFonts w:ascii="Arial" w:hAnsi="Arial" w:cs="Arial"/>
          <w:b/>
        </w:rPr>
      </w:pPr>
      <w:r>
        <w:rPr>
          <w:rFonts w:ascii="Arial" w:hAnsi="Arial" w:cs="Arial"/>
          <w:b/>
        </w:rPr>
        <w:t>Учитывая вышеизложенное, Банк</w:t>
      </w:r>
      <w:r w:rsidR="006B336A" w:rsidRPr="006B336A">
        <w:rPr>
          <w:rFonts w:ascii="Arial" w:hAnsi="Arial" w:cs="Arial"/>
          <w:b/>
        </w:rPr>
        <w:t xml:space="preserve"> </w:t>
      </w:r>
      <w:r>
        <w:rPr>
          <w:rFonts w:ascii="Arial" w:hAnsi="Arial" w:cs="Arial"/>
          <w:b/>
        </w:rPr>
        <w:t>рекомендует внимательно рассмотреть вопрос о том, являются ли риски, возникающие при проведении соответствующих операций, приемлемыми для Клиента с учетом инвестиционных целей и финансовых возможностей Клиента. Настоящая Декларация о рисках не имеет своей целью заставить Клиента отказаться от осуществления операций на финансовом рынке, а призвана помочь Клиенту оценить степень рисков и ответственно подойти к решению вопроса о выборе инвестиционной стратегии.</w:t>
      </w:r>
    </w:p>
    <w:p w:rsidR="00EA76DF" w:rsidRPr="002153CE" w:rsidRDefault="00EA76DF" w:rsidP="001D4D70"/>
    <w:p w:rsidR="00353E08" w:rsidRPr="002153CE" w:rsidRDefault="00353E08" w:rsidP="001D4D70"/>
    <w:p w:rsidR="00353E08" w:rsidRPr="002153CE" w:rsidRDefault="00353E08" w:rsidP="001D4D70"/>
    <w:p w:rsidR="00353E08" w:rsidRPr="002153CE" w:rsidRDefault="0032598C" w:rsidP="001D4D70">
      <w:r>
        <w:t>Подпись Клиента:____________________________________________________________________________</w:t>
      </w:r>
    </w:p>
    <w:p w:rsidR="00353E08" w:rsidRPr="002153CE" w:rsidRDefault="0032598C" w:rsidP="001D4D70">
      <w:r>
        <w:t xml:space="preserve"> </w:t>
      </w:r>
      <w:r>
        <w:tab/>
      </w:r>
      <w:r>
        <w:tab/>
      </w:r>
      <w:r>
        <w:tab/>
      </w:r>
      <w:r>
        <w:tab/>
      </w:r>
      <w:r>
        <w:tab/>
      </w:r>
      <w:r>
        <w:tab/>
        <w:t xml:space="preserve">(должность, Ф.И.О.) </w:t>
      </w:r>
      <w:r>
        <w:tab/>
      </w:r>
      <w:r>
        <w:tab/>
        <w:t>м.п.</w:t>
      </w:r>
    </w:p>
    <w:p w:rsidR="00353E08" w:rsidRPr="002153CE" w:rsidRDefault="00353E08" w:rsidP="001D4D70"/>
    <w:p w:rsidR="00353E08" w:rsidRPr="002153CE" w:rsidRDefault="00353E08" w:rsidP="001D4D70"/>
    <w:p w:rsidR="00353E08" w:rsidRDefault="0032598C" w:rsidP="00F13859">
      <w:pPr>
        <w:ind w:left="3540" w:firstLine="708"/>
      </w:pPr>
      <w:r>
        <w:t>Дата:</w:t>
      </w:r>
      <w:bookmarkStart w:id="0" w:name="_GoBack"/>
      <w:bookmarkEnd w:id="0"/>
    </w:p>
    <w:p w:rsidR="00353E08" w:rsidRDefault="00353E08" w:rsidP="001D4D70"/>
    <w:p w:rsidR="00353E08" w:rsidRDefault="00353E08" w:rsidP="001D4D70"/>
    <w:sectPr w:rsidR="00353E08" w:rsidSect="00BA180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0E8" w:rsidRDefault="000E50E8" w:rsidP="00364A57">
      <w:r>
        <w:separator/>
      </w:r>
    </w:p>
  </w:endnote>
  <w:endnote w:type="continuationSeparator" w:id="0">
    <w:p w:rsidR="000E50E8" w:rsidRDefault="000E50E8" w:rsidP="00364A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0E8" w:rsidRDefault="000E50E8" w:rsidP="00364A57">
      <w:r>
        <w:separator/>
      </w:r>
    </w:p>
  </w:footnote>
  <w:footnote w:type="continuationSeparator" w:id="0">
    <w:p w:rsidR="000E50E8" w:rsidRDefault="000E50E8" w:rsidP="00364A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97510"/>
    <w:multiLevelType w:val="hybridMultilevel"/>
    <w:tmpl w:val="3A565D1C"/>
    <w:lvl w:ilvl="0" w:tplc="7F44D176">
      <w:start w:val="1"/>
      <w:numFmt w:val="upperRoman"/>
      <w:lvlText w:val="%1."/>
      <w:lvlJc w:val="right"/>
      <w:pPr>
        <w:ind w:left="644" w:hanging="360"/>
      </w:pPr>
      <w:rPr>
        <w:rFonts w:hint="default"/>
      </w:rPr>
    </w:lvl>
    <w:lvl w:ilvl="1" w:tplc="5232D66C" w:tentative="1">
      <w:start w:val="1"/>
      <w:numFmt w:val="lowerLetter"/>
      <w:lvlText w:val="%2."/>
      <w:lvlJc w:val="left"/>
      <w:pPr>
        <w:ind w:left="1364" w:hanging="360"/>
      </w:pPr>
    </w:lvl>
    <w:lvl w:ilvl="2" w:tplc="A9165816" w:tentative="1">
      <w:start w:val="1"/>
      <w:numFmt w:val="lowerRoman"/>
      <w:lvlText w:val="%3."/>
      <w:lvlJc w:val="right"/>
      <w:pPr>
        <w:ind w:left="2084" w:hanging="180"/>
      </w:pPr>
    </w:lvl>
    <w:lvl w:ilvl="3" w:tplc="AC7A402A" w:tentative="1">
      <w:start w:val="1"/>
      <w:numFmt w:val="decimal"/>
      <w:lvlText w:val="%4."/>
      <w:lvlJc w:val="left"/>
      <w:pPr>
        <w:ind w:left="2804" w:hanging="360"/>
      </w:pPr>
    </w:lvl>
    <w:lvl w:ilvl="4" w:tplc="1F58E58C" w:tentative="1">
      <w:start w:val="1"/>
      <w:numFmt w:val="lowerLetter"/>
      <w:lvlText w:val="%5."/>
      <w:lvlJc w:val="left"/>
      <w:pPr>
        <w:ind w:left="3524" w:hanging="360"/>
      </w:pPr>
    </w:lvl>
    <w:lvl w:ilvl="5" w:tplc="CDA4A366" w:tentative="1">
      <w:start w:val="1"/>
      <w:numFmt w:val="lowerRoman"/>
      <w:lvlText w:val="%6."/>
      <w:lvlJc w:val="right"/>
      <w:pPr>
        <w:ind w:left="4244" w:hanging="180"/>
      </w:pPr>
    </w:lvl>
    <w:lvl w:ilvl="6" w:tplc="E97E1406" w:tentative="1">
      <w:start w:val="1"/>
      <w:numFmt w:val="decimal"/>
      <w:lvlText w:val="%7."/>
      <w:lvlJc w:val="left"/>
      <w:pPr>
        <w:ind w:left="4964" w:hanging="360"/>
      </w:pPr>
    </w:lvl>
    <w:lvl w:ilvl="7" w:tplc="74649E00" w:tentative="1">
      <w:start w:val="1"/>
      <w:numFmt w:val="lowerLetter"/>
      <w:lvlText w:val="%8."/>
      <w:lvlJc w:val="left"/>
      <w:pPr>
        <w:ind w:left="5684" w:hanging="360"/>
      </w:pPr>
    </w:lvl>
    <w:lvl w:ilvl="8" w:tplc="EBF24078" w:tentative="1">
      <w:start w:val="1"/>
      <w:numFmt w:val="lowerRoman"/>
      <w:lvlText w:val="%9."/>
      <w:lvlJc w:val="right"/>
      <w:pPr>
        <w:ind w:left="6404" w:hanging="180"/>
      </w:pPr>
    </w:lvl>
  </w:abstractNum>
  <w:abstractNum w:abstractNumId="1">
    <w:nsid w:val="21993291"/>
    <w:multiLevelType w:val="hybridMultilevel"/>
    <w:tmpl w:val="3C2E1A72"/>
    <w:lvl w:ilvl="0" w:tplc="96A81AC2">
      <w:start w:val="1"/>
      <w:numFmt w:val="bullet"/>
      <w:lvlText w:val=""/>
      <w:lvlJc w:val="left"/>
      <w:pPr>
        <w:ind w:left="720" w:hanging="360"/>
      </w:pPr>
      <w:rPr>
        <w:rFonts w:ascii="Symbol" w:hAnsi="Symbol" w:hint="default"/>
      </w:rPr>
    </w:lvl>
    <w:lvl w:ilvl="1" w:tplc="C7CED2EA">
      <w:start w:val="1"/>
      <w:numFmt w:val="bullet"/>
      <w:lvlText w:val="o"/>
      <w:lvlJc w:val="left"/>
      <w:pPr>
        <w:ind w:left="1440" w:hanging="360"/>
      </w:pPr>
      <w:rPr>
        <w:rFonts w:ascii="Courier New" w:hAnsi="Courier New" w:cs="Courier New" w:hint="default"/>
      </w:rPr>
    </w:lvl>
    <w:lvl w:ilvl="2" w:tplc="EA94B2BE" w:tentative="1">
      <w:start w:val="1"/>
      <w:numFmt w:val="bullet"/>
      <w:lvlText w:val=""/>
      <w:lvlJc w:val="left"/>
      <w:pPr>
        <w:ind w:left="2160" w:hanging="360"/>
      </w:pPr>
      <w:rPr>
        <w:rFonts w:ascii="Wingdings" w:hAnsi="Wingdings" w:hint="default"/>
      </w:rPr>
    </w:lvl>
    <w:lvl w:ilvl="3" w:tplc="955A2764" w:tentative="1">
      <w:start w:val="1"/>
      <w:numFmt w:val="bullet"/>
      <w:lvlText w:val=""/>
      <w:lvlJc w:val="left"/>
      <w:pPr>
        <w:ind w:left="2880" w:hanging="360"/>
      </w:pPr>
      <w:rPr>
        <w:rFonts w:ascii="Symbol" w:hAnsi="Symbol" w:hint="default"/>
      </w:rPr>
    </w:lvl>
    <w:lvl w:ilvl="4" w:tplc="866E9320" w:tentative="1">
      <w:start w:val="1"/>
      <w:numFmt w:val="bullet"/>
      <w:lvlText w:val="o"/>
      <w:lvlJc w:val="left"/>
      <w:pPr>
        <w:ind w:left="3600" w:hanging="360"/>
      </w:pPr>
      <w:rPr>
        <w:rFonts w:ascii="Courier New" w:hAnsi="Courier New" w:cs="Courier New" w:hint="default"/>
      </w:rPr>
    </w:lvl>
    <w:lvl w:ilvl="5" w:tplc="9DB6E08A" w:tentative="1">
      <w:start w:val="1"/>
      <w:numFmt w:val="bullet"/>
      <w:lvlText w:val=""/>
      <w:lvlJc w:val="left"/>
      <w:pPr>
        <w:ind w:left="4320" w:hanging="360"/>
      </w:pPr>
      <w:rPr>
        <w:rFonts w:ascii="Wingdings" w:hAnsi="Wingdings" w:hint="default"/>
      </w:rPr>
    </w:lvl>
    <w:lvl w:ilvl="6" w:tplc="D2CA085C" w:tentative="1">
      <w:start w:val="1"/>
      <w:numFmt w:val="bullet"/>
      <w:lvlText w:val=""/>
      <w:lvlJc w:val="left"/>
      <w:pPr>
        <w:ind w:left="5040" w:hanging="360"/>
      </w:pPr>
      <w:rPr>
        <w:rFonts w:ascii="Symbol" w:hAnsi="Symbol" w:hint="default"/>
      </w:rPr>
    </w:lvl>
    <w:lvl w:ilvl="7" w:tplc="174289B8" w:tentative="1">
      <w:start w:val="1"/>
      <w:numFmt w:val="bullet"/>
      <w:lvlText w:val="o"/>
      <w:lvlJc w:val="left"/>
      <w:pPr>
        <w:ind w:left="5760" w:hanging="360"/>
      </w:pPr>
      <w:rPr>
        <w:rFonts w:ascii="Courier New" w:hAnsi="Courier New" w:cs="Courier New" w:hint="default"/>
      </w:rPr>
    </w:lvl>
    <w:lvl w:ilvl="8" w:tplc="E96448AA" w:tentative="1">
      <w:start w:val="1"/>
      <w:numFmt w:val="bullet"/>
      <w:lvlText w:val=""/>
      <w:lvlJc w:val="left"/>
      <w:pPr>
        <w:ind w:left="6480" w:hanging="360"/>
      </w:pPr>
      <w:rPr>
        <w:rFonts w:ascii="Wingdings" w:hAnsi="Wingdings" w:hint="default"/>
      </w:rPr>
    </w:lvl>
  </w:abstractNum>
  <w:abstractNum w:abstractNumId="2">
    <w:nsid w:val="3EB4405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859449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A833387"/>
    <w:multiLevelType w:val="hybridMultilevel"/>
    <w:tmpl w:val="99061E86"/>
    <w:lvl w:ilvl="0" w:tplc="0DA6EC02">
      <w:start w:val="1"/>
      <w:numFmt w:val="decimal"/>
      <w:lvlText w:val="%1)"/>
      <w:lvlJc w:val="left"/>
      <w:pPr>
        <w:ind w:left="720" w:hanging="360"/>
      </w:pPr>
      <w:rPr>
        <w:rFonts w:hint="default"/>
      </w:rPr>
    </w:lvl>
    <w:lvl w:ilvl="1" w:tplc="C3F64A4A" w:tentative="1">
      <w:start w:val="1"/>
      <w:numFmt w:val="lowerLetter"/>
      <w:lvlText w:val="%2."/>
      <w:lvlJc w:val="left"/>
      <w:pPr>
        <w:ind w:left="1440" w:hanging="360"/>
      </w:pPr>
    </w:lvl>
    <w:lvl w:ilvl="2" w:tplc="73C6E13E" w:tentative="1">
      <w:start w:val="1"/>
      <w:numFmt w:val="lowerRoman"/>
      <w:lvlText w:val="%3."/>
      <w:lvlJc w:val="right"/>
      <w:pPr>
        <w:ind w:left="2160" w:hanging="180"/>
      </w:pPr>
    </w:lvl>
    <w:lvl w:ilvl="3" w:tplc="B72EE996" w:tentative="1">
      <w:start w:val="1"/>
      <w:numFmt w:val="decimal"/>
      <w:lvlText w:val="%4."/>
      <w:lvlJc w:val="left"/>
      <w:pPr>
        <w:ind w:left="2880" w:hanging="360"/>
      </w:pPr>
    </w:lvl>
    <w:lvl w:ilvl="4" w:tplc="BC8E127C" w:tentative="1">
      <w:start w:val="1"/>
      <w:numFmt w:val="lowerLetter"/>
      <w:lvlText w:val="%5."/>
      <w:lvlJc w:val="left"/>
      <w:pPr>
        <w:ind w:left="3600" w:hanging="360"/>
      </w:pPr>
    </w:lvl>
    <w:lvl w:ilvl="5" w:tplc="6526B9C6" w:tentative="1">
      <w:start w:val="1"/>
      <w:numFmt w:val="lowerRoman"/>
      <w:lvlText w:val="%6."/>
      <w:lvlJc w:val="right"/>
      <w:pPr>
        <w:ind w:left="4320" w:hanging="180"/>
      </w:pPr>
    </w:lvl>
    <w:lvl w:ilvl="6" w:tplc="966075C8" w:tentative="1">
      <w:start w:val="1"/>
      <w:numFmt w:val="decimal"/>
      <w:lvlText w:val="%7."/>
      <w:lvlJc w:val="left"/>
      <w:pPr>
        <w:ind w:left="5040" w:hanging="360"/>
      </w:pPr>
    </w:lvl>
    <w:lvl w:ilvl="7" w:tplc="0690084A" w:tentative="1">
      <w:start w:val="1"/>
      <w:numFmt w:val="lowerLetter"/>
      <w:lvlText w:val="%8."/>
      <w:lvlJc w:val="left"/>
      <w:pPr>
        <w:ind w:left="5760" w:hanging="360"/>
      </w:pPr>
    </w:lvl>
    <w:lvl w:ilvl="8" w:tplc="75F008C0"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efaultTabStop w:val="708"/>
  <w:characterSpacingControl w:val="doNotCompress"/>
  <w:footnotePr>
    <w:footnote w:id="-1"/>
    <w:footnote w:id="0"/>
  </w:footnotePr>
  <w:endnotePr>
    <w:endnote w:id="-1"/>
    <w:endnote w:id="0"/>
  </w:endnotePr>
  <w:compat/>
  <w:rsids>
    <w:rsidRoot w:val="001D4D70"/>
    <w:rsid w:val="0004519A"/>
    <w:rsid w:val="000E50E8"/>
    <w:rsid w:val="00111823"/>
    <w:rsid w:val="001D4D70"/>
    <w:rsid w:val="002153CE"/>
    <w:rsid w:val="00260653"/>
    <w:rsid w:val="002A08B5"/>
    <w:rsid w:val="002C1B51"/>
    <w:rsid w:val="0032598C"/>
    <w:rsid w:val="003351B0"/>
    <w:rsid w:val="00353E08"/>
    <w:rsid w:val="00355EE1"/>
    <w:rsid w:val="00364A57"/>
    <w:rsid w:val="0038378B"/>
    <w:rsid w:val="003850D8"/>
    <w:rsid w:val="004201E5"/>
    <w:rsid w:val="00432A21"/>
    <w:rsid w:val="0043324A"/>
    <w:rsid w:val="004447AB"/>
    <w:rsid w:val="004F66C9"/>
    <w:rsid w:val="00507115"/>
    <w:rsid w:val="00583F69"/>
    <w:rsid w:val="00615C92"/>
    <w:rsid w:val="006644ED"/>
    <w:rsid w:val="00664C37"/>
    <w:rsid w:val="00673EC5"/>
    <w:rsid w:val="006B336A"/>
    <w:rsid w:val="006C2B4A"/>
    <w:rsid w:val="006C3EDF"/>
    <w:rsid w:val="00765A0E"/>
    <w:rsid w:val="007E179A"/>
    <w:rsid w:val="00814BB0"/>
    <w:rsid w:val="00841282"/>
    <w:rsid w:val="008B069B"/>
    <w:rsid w:val="008E00D7"/>
    <w:rsid w:val="00A94C3A"/>
    <w:rsid w:val="00AA0E71"/>
    <w:rsid w:val="00AB5FFF"/>
    <w:rsid w:val="00B62A08"/>
    <w:rsid w:val="00B974F4"/>
    <w:rsid w:val="00BA180F"/>
    <w:rsid w:val="00BB26D5"/>
    <w:rsid w:val="00BC6FE1"/>
    <w:rsid w:val="00C70F1F"/>
    <w:rsid w:val="00D55E31"/>
    <w:rsid w:val="00D56D91"/>
    <w:rsid w:val="00D75BEE"/>
    <w:rsid w:val="00E01376"/>
    <w:rsid w:val="00E8361D"/>
    <w:rsid w:val="00E85654"/>
    <w:rsid w:val="00EA76DF"/>
    <w:rsid w:val="00EA7D70"/>
    <w:rsid w:val="00F13859"/>
    <w:rsid w:val="00F20580"/>
    <w:rsid w:val="00F311D2"/>
    <w:rsid w:val="00F425A1"/>
    <w:rsid w:val="00F94D5B"/>
    <w:rsid w:val="00F97362"/>
    <w:rsid w:val="00FB34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D70"/>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nhideWhenUsed/>
    <w:qFormat/>
    <w:rsid w:val="00E8361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4D70"/>
    <w:pPr>
      <w:keepLines/>
      <w:tabs>
        <w:tab w:val="num" w:pos="2160"/>
      </w:tabs>
      <w:spacing w:before="120"/>
      <w:ind w:left="2160" w:hanging="180"/>
      <w:jc w:val="both"/>
    </w:pPr>
  </w:style>
  <w:style w:type="character" w:customStyle="1" w:styleId="a4">
    <w:name w:val="Основной текст Знак"/>
    <w:basedOn w:val="a0"/>
    <w:link w:val="a3"/>
    <w:rsid w:val="001D4D70"/>
    <w:rPr>
      <w:rFonts w:ascii="Times New Roman" w:eastAsia="Times New Roman" w:hAnsi="Times New Roman" w:cs="Times New Roman"/>
      <w:sz w:val="20"/>
      <w:szCs w:val="20"/>
      <w:lang w:eastAsia="ru-RU"/>
    </w:rPr>
  </w:style>
  <w:style w:type="character" w:styleId="a5">
    <w:name w:val="annotation reference"/>
    <w:basedOn w:val="a0"/>
    <w:uiPriority w:val="99"/>
    <w:semiHidden/>
    <w:unhideWhenUsed/>
    <w:rsid w:val="006644ED"/>
    <w:rPr>
      <w:sz w:val="16"/>
      <w:szCs w:val="16"/>
    </w:rPr>
  </w:style>
  <w:style w:type="paragraph" w:styleId="a6">
    <w:name w:val="annotation text"/>
    <w:basedOn w:val="a"/>
    <w:link w:val="a7"/>
    <w:uiPriority w:val="99"/>
    <w:semiHidden/>
    <w:unhideWhenUsed/>
    <w:rsid w:val="006644ED"/>
  </w:style>
  <w:style w:type="character" w:customStyle="1" w:styleId="a7">
    <w:name w:val="Текст примечания Знак"/>
    <w:basedOn w:val="a0"/>
    <w:link w:val="a6"/>
    <w:uiPriority w:val="99"/>
    <w:semiHidden/>
    <w:rsid w:val="006644ED"/>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6644ED"/>
    <w:rPr>
      <w:b/>
      <w:bCs/>
    </w:rPr>
  </w:style>
  <w:style w:type="character" w:customStyle="1" w:styleId="a9">
    <w:name w:val="Тема примечания Знак"/>
    <w:basedOn w:val="a7"/>
    <w:link w:val="a8"/>
    <w:uiPriority w:val="99"/>
    <w:semiHidden/>
    <w:rsid w:val="006644ED"/>
    <w:rPr>
      <w:rFonts w:ascii="Times New Roman" w:eastAsia="Times New Roman" w:hAnsi="Times New Roman" w:cs="Times New Roman"/>
      <w:b/>
      <w:bCs/>
      <w:sz w:val="20"/>
      <w:szCs w:val="20"/>
      <w:lang w:eastAsia="ru-RU"/>
    </w:rPr>
  </w:style>
  <w:style w:type="paragraph" w:styleId="aa">
    <w:name w:val="Balloon Text"/>
    <w:basedOn w:val="a"/>
    <w:link w:val="ab"/>
    <w:uiPriority w:val="99"/>
    <w:semiHidden/>
    <w:unhideWhenUsed/>
    <w:rsid w:val="006644ED"/>
    <w:rPr>
      <w:rFonts w:ascii="Tahoma" w:hAnsi="Tahoma" w:cs="Tahoma"/>
      <w:sz w:val="16"/>
      <w:szCs w:val="16"/>
    </w:rPr>
  </w:style>
  <w:style w:type="character" w:customStyle="1" w:styleId="ab">
    <w:name w:val="Текст выноски Знак"/>
    <w:basedOn w:val="a0"/>
    <w:link w:val="aa"/>
    <w:uiPriority w:val="99"/>
    <w:semiHidden/>
    <w:rsid w:val="006644ED"/>
    <w:rPr>
      <w:rFonts w:ascii="Tahoma" w:eastAsia="Times New Roman" w:hAnsi="Tahoma" w:cs="Tahoma"/>
      <w:sz w:val="16"/>
      <w:szCs w:val="16"/>
      <w:lang w:eastAsia="ru-RU"/>
    </w:rPr>
  </w:style>
  <w:style w:type="paragraph" w:styleId="ac">
    <w:name w:val="header"/>
    <w:basedOn w:val="a"/>
    <w:link w:val="ad"/>
    <w:uiPriority w:val="99"/>
    <w:unhideWhenUsed/>
    <w:rsid w:val="00364A57"/>
    <w:pPr>
      <w:tabs>
        <w:tab w:val="center" w:pos="4677"/>
        <w:tab w:val="right" w:pos="9355"/>
      </w:tabs>
    </w:pPr>
  </w:style>
  <w:style w:type="character" w:customStyle="1" w:styleId="ad">
    <w:name w:val="Верхний колонтитул Знак"/>
    <w:basedOn w:val="a0"/>
    <w:link w:val="ac"/>
    <w:uiPriority w:val="99"/>
    <w:rsid w:val="00364A57"/>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364A57"/>
    <w:pPr>
      <w:tabs>
        <w:tab w:val="center" w:pos="4677"/>
        <w:tab w:val="right" w:pos="9355"/>
      </w:tabs>
    </w:pPr>
  </w:style>
  <w:style w:type="character" w:customStyle="1" w:styleId="af">
    <w:name w:val="Нижний колонтитул Знак"/>
    <w:basedOn w:val="a0"/>
    <w:link w:val="ae"/>
    <w:uiPriority w:val="99"/>
    <w:rsid w:val="00364A57"/>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E8361D"/>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D70"/>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nhideWhenUsed/>
    <w:qFormat/>
    <w:rsid w:val="00E8361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4D70"/>
    <w:pPr>
      <w:keepLines/>
      <w:tabs>
        <w:tab w:val="num" w:pos="2160"/>
      </w:tabs>
      <w:spacing w:before="120"/>
      <w:ind w:left="2160" w:hanging="180"/>
      <w:jc w:val="both"/>
    </w:pPr>
  </w:style>
  <w:style w:type="character" w:customStyle="1" w:styleId="a4">
    <w:name w:val="Основной текст Знак"/>
    <w:basedOn w:val="a0"/>
    <w:link w:val="a3"/>
    <w:rsid w:val="001D4D70"/>
    <w:rPr>
      <w:rFonts w:ascii="Times New Roman" w:eastAsia="Times New Roman" w:hAnsi="Times New Roman" w:cs="Times New Roman"/>
      <w:sz w:val="20"/>
      <w:szCs w:val="20"/>
      <w:lang w:eastAsia="ru-RU"/>
    </w:rPr>
  </w:style>
  <w:style w:type="character" w:styleId="a5">
    <w:name w:val="annotation reference"/>
    <w:basedOn w:val="a0"/>
    <w:uiPriority w:val="99"/>
    <w:semiHidden/>
    <w:unhideWhenUsed/>
    <w:rsid w:val="006644ED"/>
    <w:rPr>
      <w:sz w:val="16"/>
      <w:szCs w:val="16"/>
    </w:rPr>
  </w:style>
  <w:style w:type="paragraph" w:styleId="a6">
    <w:name w:val="annotation text"/>
    <w:basedOn w:val="a"/>
    <w:link w:val="a7"/>
    <w:uiPriority w:val="99"/>
    <w:semiHidden/>
    <w:unhideWhenUsed/>
    <w:rsid w:val="006644ED"/>
  </w:style>
  <w:style w:type="character" w:customStyle="1" w:styleId="a7">
    <w:name w:val="Текст примечания Знак"/>
    <w:basedOn w:val="a0"/>
    <w:link w:val="a6"/>
    <w:uiPriority w:val="99"/>
    <w:semiHidden/>
    <w:rsid w:val="006644ED"/>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6644ED"/>
    <w:rPr>
      <w:b/>
      <w:bCs/>
    </w:rPr>
  </w:style>
  <w:style w:type="character" w:customStyle="1" w:styleId="a9">
    <w:name w:val="Тема примечания Знак"/>
    <w:basedOn w:val="a7"/>
    <w:link w:val="a8"/>
    <w:uiPriority w:val="99"/>
    <w:semiHidden/>
    <w:rsid w:val="006644ED"/>
    <w:rPr>
      <w:rFonts w:ascii="Times New Roman" w:eastAsia="Times New Roman" w:hAnsi="Times New Roman" w:cs="Times New Roman"/>
      <w:b/>
      <w:bCs/>
      <w:sz w:val="20"/>
      <w:szCs w:val="20"/>
      <w:lang w:eastAsia="ru-RU"/>
    </w:rPr>
  </w:style>
  <w:style w:type="paragraph" w:styleId="aa">
    <w:name w:val="Balloon Text"/>
    <w:basedOn w:val="a"/>
    <w:link w:val="ab"/>
    <w:uiPriority w:val="99"/>
    <w:semiHidden/>
    <w:unhideWhenUsed/>
    <w:rsid w:val="006644ED"/>
    <w:rPr>
      <w:rFonts w:ascii="Tahoma" w:hAnsi="Tahoma" w:cs="Tahoma"/>
      <w:sz w:val="16"/>
      <w:szCs w:val="16"/>
    </w:rPr>
  </w:style>
  <w:style w:type="character" w:customStyle="1" w:styleId="ab">
    <w:name w:val="Текст выноски Знак"/>
    <w:basedOn w:val="a0"/>
    <w:link w:val="aa"/>
    <w:uiPriority w:val="99"/>
    <w:semiHidden/>
    <w:rsid w:val="006644ED"/>
    <w:rPr>
      <w:rFonts w:ascii="Tahoma" w:eastAsia="Times New Roman" w:hAnsi="Tahoma" w:cs="Tahoma"/>
      <w:sz w:val="16"/>
      <w:szCs w:val="16"/>
      <w:lang w:eastAsia="ru-RU"/>
    </w:rPr>
  </w:style>
  <w:style w:type="paragraph" w:styleId="ac">
    <w:name w:val="header"/>
    <w:basedOn w:val="a"/>
    <w:link w:val="ad"/>
    <w:uiPriority w:val="99"/>
    <w:unhideWhenUsed/>
    <w:rsid w:val="00364A57"/>
    <w:pPr>
      <w:tabs>
        <w:tab w:val="center" w:pos="4677"/>
        <w:tab w:val="right" w:pos="9355"/>
      </w:tabs>
    </w:pPr>
  </w:style>
  <w:style w:type="character" w:customStyle="1" w:styleId="ad">
    <w:name w:val="Верхний колонтитул Знак"/>
    <w:basedOn w:val="a0"/>
    <w:link w:val="ac"/>
    <w:uiPriority w:val="99"/>
    <w:rsid w:val="00364A57"/>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364A57"/>
    <w:pPr>
      <w:tabs>
        <w:tab w:val="center" w:pos="4677"/>
        <w:tab w:val="right" w:pos="9355"/>
      </w:tabs>
    </w:pPr>
  </w:style>
  <w:style w:type="character" w:customStyle="1" w:styleId="af">
    <w:name w:val="Нижний колонтитул Знак"/>
    <w:basedOn w:val="a0"/>
    <w:link w:val="ae"/>
    <w:uiPriority w:val="99"/>
    <w:rsid w:val="00364A57"/>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E8361D"/>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CD9F9-5A90-4990-A36B-4A99BC627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2558</Words>
  <Characters>14583</Characters>
  <Application>Microsoft Office Word</Application>
  <DocSecurity>4</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Senchenko Pavel</dc:creator>
  <cp:lastModifiedBy>golubeva</cp:lastModifiedBy>
  <cp:revision>2</cp:revision>
  <dcterms:created xsi:type="dcterms:W3CDTF">2015-08-17T13:40:00Z</dcterms:created>
  <dcterms:modified xsi:type="dcterms:W3CDTF">2015-08-17T13:40:00Z</dcterms:modified>
</cp:coreProperties>
</file>