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ED" w:rsidRPr="0049677B"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w:t>
      </w:r>
      <w:r w:rsidR="00123361">
        <w:rPr>
          <w:rFonts w:ascii="Arial" w:eastAsia="Times New Roman" w:hAnsi="Arial" w:cs="Arial"/>
          <w:i/>
          <w:sz w:val="20"/>
          <w:szCs w:val="20"/>
          <w:lang w:eastAsia="ru-RU"/>
        </w:rPr>
        <w:t>СПБ</w:t>
      </w:r>
      <w:r w:rsidRPr="00B41AED">
        <w:rPr>
          <w:rFonts w:ascii="Arial" w:eastAsia="Times New Roman" w:hAnsi="Arial" w:cs="Arial"/>
          <w:i/>
          <w:sz w:val="20"/>
          <w:szCs w:val="20"/>
          <w:lang w:eastAsia="ru-RU"/>
        </w:rPr>
        <w:t xml:space="preserve"> Банк»</w:t>
      </w:r>
    </w:p>
    <w:p w:rsidR="00012458" w:rsidRPr="00B41AED" w:rsidRDefault="00012458"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ind w:firstLine="249"/>
        <w:jc w:val="center"/>
        <w:rPr>
          <w:rFonts w:ascii="Times New Roman" w:hAnsi="Times New Roman"/>
          <w:b/>
        </w:rPr>
      </w:pPr>
      <w:r>
        <w:rPr>
          <w:rFonts w:ascii="Times New Roman" w:hAnsi="Times New Roman"/>
          <w:b/>
        </w:rPr>
        <w:t>Декларация об общих рисках, связанных с осуществлением операций на рынке ценных бумаг ПАО «</w:t>
      </w:r>
      <w:r w:rsidR="00463C86">
        <w:rPr>
          <w:rFonts w:ascii="Times New Roman" w:hAnsi="Times New Roman"/>
          <w:b/>
        </w:rPr>
        <w:t>СПБ</w:t>
      </w:r>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xml:space="preserve">. Системный риск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Pr>
          <w:rFonts w:ascii="Times New Roman" w:hAnsi="Times New Roman"/>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Pr>
          <w:rFonts w:ascii="Times New Roman" w:hAnsi="Times New Roman"/>
        </w:rPr>
        <w:t>может</w:t>
      </w:r>
      <w:proofErr w:type="gramEnd"/>
      <w:r>
        <w:rPr>
          <w:rFonts w:ascii="Times New Roman" w:hAnsi="Times New Roman"/>
        </w:rPr>
        <w:t xml:space="preserve"> как расти, так и снижаться, и ее рост в прошлом не означает ее роста в будущем.</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Следует специально обратить внимание на следующие рыночные риски: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Валютный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12458" w:rsidRDefault="00F8548D"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2. Процентный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банкротства эмитента акций</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резком падении цены акций акционерного общества, признанного несостоятельным, или в предвидении такой несостоятельности.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IV</w:t>
      </w:r>
      <w:r>
        <w:rPr>
          <w:rFonts w:ascii="Times New Roman" w:hAnsi="Times New Roman"/>
        </w:rPr>
        <w:t>. Кредитный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12458" w:rsidRDefault="00012458" w:rsidP="007C4CEA">
      <w:pPr>
        <w:spacing w:after="0" w:line="240" w:lineRule="auto"/>
        <w:ind w:firstLine="375"/>
        <w:jc w:val="both"/>
        <w:rPr>
          <w:rFonts w:ascii="Times New Roman" w:hAnsi="Times New Roman"/>
        </w:rPr>
      </w:pPr>
      <w:r>
        <w:rPr>
          <w:rFonts w:ascii="Times New Roman" w:hAnsi="Times New Roman"/>
        </w:rPr>
        <w:t>К числу кредитных рисков относятся следующие риски: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Риск дефолта по облигациям и иным долговым ценным бумагам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2. Риск контрагента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12458" w:rsidRDefault="00012458" w:rsidP="007C4CEA">
      <w:pPr>
        <w:spacing w:after="0" w:line="240" w:lineRule="auto"/>
        <w:ind w:firstLine="375"/>
        <w:jc w:val="both"/>
        <w:rPr>
          <w:rFonts w:ascii="Times New Roman" w:hAnsi="Times New Roman"/>
        </w:rPr>
      </w:pPr>
      <w:r>
        <w:rPr>
          <w:rFonts w:ascii="Times New Roman" w:hAnsi="Times New Roman"/>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Pr>
          <w:rFonts w:ascii="Times New Roman" w:hAnsi="Times New Roman"/>
        </w:rPr>
        <w:t>ств тр</w:t>
      </w:r>
      <w:proofErr w:type="gramEnd"/>
      <w:r>
        <w:rPr>
          <w:rFonts w:ascii="Times New Roman" w:hAnsi="Times New Roman"/>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неисполнения обязательств перед вами вашим брокером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неисполнения вашим брокером некоторых обязательств перед вами является видом риска контрагента.</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Pr>
          <w:rFonts w:ascii="Times New Roman" w:hAnsi="Times New Roman"/>
        </w:rPr>
        <w:t>связи</w:t>
      </w:r>
      <w:proofErr w:type="gramEnd"/>
      <w:r>
        <w:rPr>
          <w:rFonts w:ascii="Times New Roman" w:hAnsi="Times New Roman"/>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012458" w:rsidRDefault="00012458" w:rsidP="007C4CEA">
      <w:pPr>
        <w:spacing w:after="0" w:line="240" w:lineRule="auto"/>
        <w:ind w:firstLine="375"/>
        <w:jc w:val="both"/>
        <w:rPr>
          <w:rFonts w:ascii="Times New Roman" w:hAnsi="Times New Roman"/>
        </w:rPr>
      </w:pPr>
      <w:r>
        <w:rPr>
          <w:rFonts w:ascii="Times New Roman" w:hAnsi="Times New Roman"/>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Ваш брокер является членом НАУФОР, </w:t>
      </w:r>
      <w:proofErr w:type="gramStart"/>
      <w:r>
        <w:rPr>
          <w:rFonts w:ascii="Times New Roman" w:hAnsi="Times New Roman"/>
        </w:rPr>
        <w:t>к</w:t>
      </w:r>
      <w:proofErr w:type="gramEnd"/>
      <w:r>
        <w:rPr>
          <w:rFonts w:ascii="Times New Roman" w:hAnsi="Times New Roman"/>
        </w:rPr>
        <w:t xml:space="preserve"> которой вы можете обратиться в случае нарушения ваших прав и интересов. Государственное регулирование и надзор в отношении деятельности </w:t>
      </w:r>
      <w:r>
        <w:rPr>
          <w:rFonts w:ascii="Times New Roman" w:hAnsi="Times New Roman"/>
        </w:rPr>
        <w:lastRenderedPageBreak/>
        <w:t>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w:t>
      </w:r>
      <w:r>
        <w:rPr>
          <w:rFonts w:ascii="Times New Roman" w:hAnsi="Times New Roman"/>
        </w:rPr>
        <w:t>. Правовой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r>
        <w:rPr>
          <w:rFonts w:ascii="Times New Roman" w:hAnsi="Times New Roman"/>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VI</w:t>
      </w:r>
      <w:r>
        <w:rPr>
          <w:rFonts w:ascii="Times New Roman" w:hAnsi="Times New Roman"/>
        </w:rPr>
        <w:t>. Операционный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after="0" w:line="240" w:lineRule="auto"/>
        <w:ind w:firstLine="375"/>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jc w:val="center"/>
        <w:rPr>
          <w:rFonts w:ascii="Times New Roman" w:hAnsi="Times New Roman"/>
          <w:b/>
        </w:rPr>
      </w:pPr>
      <w:r>
        <w:rPr>
          <w:rFonts w:ascii="Times New Roman" w:hAnsi="Times New Roman"/>
          <w:b/>
        </w:rPr>
        <w:lastRenderedPageBreak/>
        <w:t>Декларация о рисках, связанных с совершением</w:t>
      </w:r>
    </w:p>
    <w:p w:rsidR="00012458" w:rsidRDefault="00012458" w:rsidP="007C4CEA">
      <w:pPr>
        <w:spacing w:after="0" w:line="240" w:lineRule="auto"/>
        <w:jc w:val="center"/>
        <w:rPr>
          <w:rFonts w:ascii="Times New Roman" w:hAnsi="Times New Roman"/>
          <w:b/>
        </w:rPr>
      </w:pPr>
      <w:r>
        <w:rPr>
          <w:rFonts w:ascii="Times New Roman" w:hAnsi="Times New Roman"/>
          <w:b/>
        </w:rPr>
        <w:t>маржинальных и непокрытых сделок ПАО «</w:t>
      </w:r>
      <w:r w:rsidR="00463C86">
        <w:rPr>
          <w:rFonts w:ascii="Times New Roman" w:hAnsi="Times New Roman"/>
          <w:b/>
        </w:rPr>
        <w:t xml:space="preserve">СПБ </w:t>
      </w:r>
      <w:r>
        <w:rPr>
          <w:rFonts w:ascii="Times New Roman" w:hAnsi="Times New Roman"/>
          <w:b/>
        </w:rPr>
        <w:t>Банк»</w:t>
      </w:r>
    </w:p>
    <w:p w:rsidR="00012458" w:rsidRDefault="00012458" w:rsidP="007C4CEA">
      <w:pPr>
        <w:spacing w:after="0" w:line="240" w:lineRule="auto"/>
        <w:jc w:val="both"/>
        <w:rPr>
          <w:rFonts w:ascii="Times New Roman" w:hAnsi="Times New Roman"/>
          <w:b/>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012458" w:rsidRDefault="00012458" w:rsidP="007C4CEA">
      <w:pPr>
        <w:spacing w:after="0" w:line="240" w:lineRule="auto"/>
        <w:ind w:firstLine="375"/>
        <w:jc w:val="both"/>
        <w:rPr>
          <w:rFonts w:ascii="Times New Roman" w:hAnsi="Times New Roman"/>
        </w:rPr>
      </w:pPr>
      <w:r>
        <w:rPr>
          <w:rFonts w:ascii="Times New Roman" w:hAnsi="Times New Roman"/>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Pr>
          <w:rFonts w:ascii="Times New Roman" w:hAnsi="Times New Roman"/>
        </w:rPr>
        <w:t>ств кл</w:t>
      </w:r>
      <w:proofErr w:type="gramEnd"/>
      <w:r>
        <w:rPr>
          <w:rFonts w:ascii="Times New Roman" w:hAnsi="Times New Roman"/>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Pr>
          <w:rFonts w:ascii="Times New Roman" w:hAnsi="Times New Roman"/>
        </w:rPr>
        <w:t>менее</w:t>
      </w:r>
      <w:proofErr w:type="gramEnd"/>
      <w:r>
        <w:rPr>
          <w:rFonts w:ascii="Times New Roman" w:hAnsi="Times New Roman"/>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Pr>
          <w:rFonts w:ascii="Times New Roman" w:hAnsi="Times New Roman"/>
        </w:rPr>
        <w:t xml:space="preserve"> При этом</w:t>
      </w:r>
      <w:proofErr w:type="gramStart"/>
      <w:r>
        <w:rPr>
          <w:rFonts w:ascii="Times New Roman" w:hAnsi="Times New Roman"/>
        </w:rPr>
        <w:t>,</w:t>
      </w:r>
      <w:proofErr w:type="gramEnd"/>
      <w:r>
        <w:rPr>
          <w:rFonts w:ascii="Times New Roman" w:hAnsi="Times New Roman"/>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w:t>
      </w:r>
      <w:r>
        <w:rPr>
          <w:rFonts w:ascii="Times New Roman" w:hAnsi="Times New Roman"/>
        </w:rPr>
        <w:lastRenderedPageBreak/>
        <w:t xml:space="preserve">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928C6" w:rsidRDefault="003928C6" w:rsidP="007C4CEA">
      <w:pPr>
        <w:spacing w:after="0" w:line="240" w:lineRule="auto"/>
        <w:ind w:firstLine="375"/>
        <w:jc w:val="both"/>
        <w:rPr>
          <w:rFonts w:ascii="Times New Roman" w:hAnsi="Times New Roman"/>
        </w:rPr>
      </w:pPr>
    </w:p>
    <w:p w:rsidR="003928C6" w:rsidRPr="00313232" w:rsidRDefault="003928C6" w:rsidP="007C4CEA">
      <w:pPr>
        <w:spacing w:after="0" w:line="240" w:lineRule="auto"/>
        <w:ind w:firstLine="375"/>
        <w:jc w:val="both"/>
        <w:rPr>
          <w:rFonts w:ascii="Times New Roman" w:hAnsi="Times New Roman"/>
        </w:rPr>
      </w:pPr>
      <w:r>
        <w:rPr>
          <w:rFonts w:ascii="Times New Roman" w:hAnsi="Times New Roman"/>
          <w:lang w:val="en-US"/>
        </w:rPr>
        <w:t>III</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012458" w:rsidRDefault="00012458" w:rsidP="007C4CEA">
      <w:pPr>
        <w:spacing w:after="100" w:afterAutospacing="1" w:line="240" w:lineRule="auto"/>
        <w:jc w:val="center"/>
        <w:rPr>
          <w:rFonts w:ascii="Times New Roman" w:hAnsi="Times New Roman"/>
          <w:b/>
        </w:rPr>
      </w:pPr>
      <w:r>
        <w:rPr>
          <w:rFonts w:ascii="Times New Roman" w:hAnsi="Times New Roman"/>
          <w:b/>
        </w:rPr>
        <w:t>Декларация о рисках, связанных с производными финансовыми инструментами</w:t>
      </w:r>
      <w:r w:rsidR="00A34862">
        <w:rPr>
          <w:rFonts w:ascii="Times New Roman" w:hAnsi="Times New Roman"/>
          <w:b/>
        </w:rPr>
        <w:t>,</w:t>
      </w:r>
      <w:r>
        <w:rPr>
          <w:rFonts w:ascii="Times New Roman" w:hAnsi="Times New Roman"/>
          <w:b/>
        </w:rPr>
        <w:t xml:space="preserve"> ПАО «</w:t>
      </w:r>
      <w:r w:rsidR="00463C86">
        <w:rPr>
          <w:rFonts w:ascii="Times New Roman" w:hAnsi="Times New Roman"/>
          <w:b/>
        </w:rPr>
        <w:t>СПБ</w:t>
      </w:r>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производными финансовыми инструментами.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Pr>
          <w:rFonts w:ascii="Times New Roman" w:hAnsi="Times New Roman"/>
        </w:rPr>
        <w:t>бо́льшим</w:t>
      </w:r>
      <w:proofErr w:type="spellEnd"/>
      <w:r>
        <w:rPr>
          <w:rFonts w:ascii="Times New Roman" w:hAnsi="Times New Roman"/>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Default="00012458" w:rsidP="007C4CEA">
      <w:pPr>
        <w:spacing w:after="0" w:line="240" w:lineRule="auto"/>
        <w:ind w:firstLine="375"/>
        <w:jc w:val="both"/>
        <w:rPr>
          <w:rFonts w:ascii="Times New Roman" w:hAnsi="Times New Roman"/>
        </w:rPr>
      </w:pPr>
      <w:r>
        <w:rPr>
          <w:rFonts w:ascii="Times New Roman" w:hAnsi="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xml:space="preserve">. Риск ликвидности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766B73" w:rsidRDefault="00766B73" w:rsidP="00A34862">
      <w:pPr>
        <w:ind w:firstLine="250"/>
        <w:jc w:val="both"/>
        <w:rPr>
          <w:rFonts w:ascii="Times New Roman" w:hAnsi="Times New Roman"/>
          <w:color w:val="FF0000"/>
        </w:rPr>
      </w:pPr>
    </w:p>
    <w:p w:rsidR="00535BD6" w:rsidRPr="00313232" w:rsidRDefault="00535BD6" w:rsidP="00535BD6">
      <w:pPr>
        <w:ind w:firstLine="250"/>
        <w:jc w:val="both"/>
        <w:rPr>
          <w:rFonts w:ascii="Times New Roman" w:hAnsi="Times New Roman"/>
        </w:rPr>
      </w:pPr>
      <w:r w:rsidRPr="00313232">
        <w:rPr>
          <w:rFonts w:ascii="Times New Roman" w:hAnsi="Times New Roman"/>
          <w:lang w:val="en-US"/>
        </w:rPr>
        <w:t>III</w:t>
      </w:r>
      <w:r w:rsidRPr="00313232">
        <w:rPr>
          <w:rFonts w:ascii="Times New Roman" w:hAnsi="Times New Roman"/>
        </w:rPr>
        <w:t>. Правовые риски</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регулируется законодательством иностранных государств. В частности, для торговли некоторыми производными финансовыми инструментами в отдельных иностранных государствах необходимо являться квалифицированным инвестором. Определение квалифицированного инвестора, а также последствия квалификации (отсутствия квалификации) отличаются в разных странах. В основном, банки, страховые и инвестиционные компании признаются квалифицированными инвесторами в силу закона.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подходит не для всех инвесторов и сопряжена со значительными рисками убытков.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Вы должны отдавать себе отчет, что торгуя производными финансовыми инструментами на иностранных срочных рынках, Вы можете, как соответствовать </w:t>
      </w:r>
      <w:r w:rsidR="00F8548D" w:rsidRPr="00313232">
        <w:rPr>
          <w:rFonts w:ascii="Times New Roman" w:hAnsi="Times New Roman"/>
        </w:rPr>
        <w:t xml:space="preserve">или </w:t>
      </w:r>
      <w:r w:rsidRPr="00313232">
        <w:rPr>
          <w:rFonts w:ascii="Times New Roman" w:hAnsi="Times New Roman"/>
        </w:rPr>
        <w:t xml:space="preserve">признаваться, так и не соответствовать </w:t>
      </w:r>
      <w:r w:rsidR="00F8548D" w:rsidRPr="00313232">
        <w:rPr>
          <w:rFonts w:ascii="Times New Roman" w:hAnsi="Times New Roman"/>
        </w:rPr>
        <w:t xml:space="preserve">или не </w:t>
      </w:r>
      <w:r w:rsidRPr="00313232">
        <w:rPr>
          <w:rFonts w:ascii="Times New Roman" w:hAnsi="Times New Roman"/>
        </w:rPr>
        <w:t xml:space="preserve">признаваться </w:t>
      </w:r>
      <w:r w:rsidR="00F8548D" w:rsidRPr="00313232">
        <w:rPr>
          <w:rFonts w:ascii="Times New Roman" w:hAnsi="Times New Roman"/>
        </w:rPr>
        <w:t>соответствующим</w:t>
      </w:r>
      <w:r w:rsidRPr="00313232">
        <w:rPr>
          <w:rFonts w:ascii="Times New Roman" w:hAnsi="Times New Roman"/>
        </w:rPr>
        <w:t> критериям, установленным для квалифицированных инвесторов для целей иностранного законодательства, что может существенно ограничить Ваше право на судебную защиту в иностранных государствах.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Кроме того, при операциях производными финансовыми инструментами на иностранных срочных рынках Вы в большинстве случаев не сможете полагаться на защиту своих прав и законных интересов российскими уполномоченными органами и Вам может потребоваться обратиться в зарубежные судебные и правоохранительные органы по установленным правилам, которые могут существенно отличаться </w:t>
      </w:r>
      <w:proofErr w:type="gramStart"/>
      <w:r w:rsidRPr="00313232">
        <w:rPr>
          <w:rFonts w:ascii="Times New Roman" w:hAnsi="Times New Roman"/>
        </w:rPr>
        <w:t>от</w:t>
      </w:r>
      <w:proofErr w:type="gramEnd"/>
      <w:r w:rsidRPr="00313232">
        <w:rPr>
          <w:rFonts w:ascii="Times New Roman" w:hAnsi="Times New Roman"/>
        </w:rPr>
        <w:t xml:space="preserve"> действующих в России.</w:t>
      </w:r>
    </w:p>
    <w:p w:rsidR="00012458" w:rsidRDefault="006D417B" w:rsidP="006D417B">
      <w:pPr>
        <w:spacing w:after="100" w:afterAutospacing="1" w:line="240" w:lineRule="auto"/>
        <w:ind w:firstLine="375"/>
        <w:jc w:val="both"/>
        <w:rPr>
          <w:rFonts w:ascii="Times New Roman" w:hAnsi="Times New Roman"/>
        </w:rPr>
      </w:pPr>
      <w:r w:rsidRPr="006D417B">
        <w:rPr>
          <w:rFonts w:ascii="Times New Roman" w:hAnsi="Times New Roman"/>
          <w:color w:val="FF0000"/>
        </w:rPr>
        <w:t xml:space="preserve"> </w:t>
      </w:r>
      <w:r w:rsidR="00012458">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w:t>
      </w:r>
      <w:r>
        <w:rPr>
          <w:rFonts w:ascii="Times New Roman" w:hAnsi="Times New Roman"/>
        </w:rPr>
        <w:lastRenderedPageBreak/>
        <w:t>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Times New Roman" w:hAnsi="Times New Roman"/>
        </w:rPr>
      </w:pPr>
    </w:p>
    <w:p w:rsidR="0049677B" w:rsidRDefault="0049677B"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bookmarkStart w:id="0" w:name="_GoBack"/>
      <w:bookmarkEnd w:id="0"/>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Декларация о рисках, связанных с приобретением иностранных ценных бумаг ПАО «</w:t>
      </w:r>
      <w:r w:rsidR="00463C86">
        <w:rPr>
          <w:rFonts w:ascii="Times New Roman" w:hAnsi="Times New Roman"/>
          <w:b/>
        </w:rPr>
        <w:t>СПБ</w:t>
      </w:r>
      <w:r>
        <w:rPr>
          <w:rFonts w:ascii="Times New Roman" w:hAnsi="Times New Roman"/>
          <w:b/>
        </w:rPr>
        <w:t xml:space="preserve"> Банк»</w:t>
      </w:r>
    </w:p>
    <w:p w:rsidR="00012458" w:rsidRDefault="00012458" w:rsidP="007C4CEA">
      <w:pPr>
        <w:ind w:firstLine="250"/>
        <w:jc w:val="both"/>
        <w:rPr>
          <w:rFonts w:ascii="Times New Roman" w:hAnsi="Times New Roman"/>
        </w:rPr>
      </w:pPr>
      <w:r>
        <w:rPr>
          <w:rFonts w:ascii="Times New Roman" w:hAnsi="Times New Roman"/>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12458" w:rsidRDefault="00012458" w:rsidP="007C4CEA">
      <w:pPr>
        <w:ind w:firstLine="250"/>
        <w:jc w:val="both"/>
        <w:rPr>
          <w:rFonts w:ascii="Times New Roman" w:hAnsi="Times New Roman"/>
        </w:rPr>
      </w:pPr>
      <w:r>
        <w:rPr>
          <w:rFonts w:ascii="Times New Roman" w:hAnsi="Times New Roman"/>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12458" w:rsidRDefault="00012458" w:rsidP="007C4CEA">
      <w:pPr>
        <w:ind w:firstLine="250"/>
        <w:jc w:val="both"/>
        <w:rPr>
          <w:rFonts w:ascii="Times New Roman" w:hAnsi="Times New Roman"/>
        </w:rPr>
      </w:pPr>
      <w:r>
        <w:rPr>
          <w:rFonts w:ascii="Times New Roman" w:hAnsi="Times New Roman"/>
        </w:rPr>
        <w:t>Системные риски</w:t>
      </w:r>
    </w:p>
    <w:p w:rsidR="00012458" w:rsidRDefault="00012458" w:rsidP="007C4CEA">
      <w:pPr>
        <w:ind w:firstLine="250"/>
        <w:jc w:val="both"/>
        <w:rPr>
          <w:rFonts w:ascii="Times New Roman" w:hAnsi="Times New Roman"/>
        </w:rPr>
      </w:pPr>
      <w:r>
        <w:rPr>
          <w:rFonts w:ascii="Times New Roman" w:hAnsi="Times New Roman"/>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иностранной ценной бумаге.</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Pr>
          <w:rFonts w:ascii="Times New Roman" w:hAnsi="Times New Roman"/>
        </w:rPr>
        <w:t>бумаг</w:t>
      </w:r>
      <w:proofErr w:type="gramEnd"/>
      <w:r>
        <w:rPr>
          <w:rFonts w:ascii="Times New Roman" w:hAnsi="Times New Roman"/>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w:t>
      </w:r>
      <w:r>
        <w:rPr>
          <w:rFonts w:ascii="Times New Roman" w:hAnsi="Times New Roman"/>
        </w:rPr>
        <w:lastRenderedPageBreak/>
        <w:t>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Arial" w:eastAsia="Times New Roman" w:hAnsi="Arial" w:cs="Arial"/>
          <w:i/>
          <w:sz w:val="20"/>
          <w:szCs w:val="20"/>
          <w:lang w:eastAsia="ru-RU"/>
        </w:rPr>
      </w:pPr>
    </w:p>
    <w:p w:rsidR="0049677B" w:rsidRDefault="0049677B" w:rsidP="007C4CEA">
      <w:pPr>
        <w:spacing w:after="100" w:afterAutospacing="1"/>
        <w:jc w:val="both"/>
        <w:rPr>
          <w:rFonts w:ascii="Times New Roman" w:hAnsi="Times New Roman"/>
          <w:b/>
        </w:rPr>
      </w:pPr>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463C86">
        <w:rPr>
          <w:rFonts w:ascii="Times New Roman" w:hAnsi="Times New Roman"/>
          <w:b/>
        </w:rPr>
        <w:t>СПБ</w:t>
      </w:r>
      <w:r>
        <w:rPr>
          <w:rFonts w:ascii="Times New Roman" w:hAnsi="Times New Roman"/>
          <w:b/>
        </w:rPr>
        <w:t xml:space="preserve"> Банк»</w:t>
      </w:r>
    </w:p>
    <w:p w:rsidR="00012458" w:rsidRDefault="00012458" w:rsidP="007C4CEA">
      <w:pPr>
        <w:spacing w:after="100" w:afterAutospacing="1"/>
        <w:ind w:firstLine="250"/>
        <w:jc w:val="both"/>
        <w:rPr>
          <w:rFonts w:ascii="Times New Roman" w:hAnsi="Times New Roman"/>
        </w:rPr>
      </w:pPr>
      <w:r>
        <w:rPr>
          <w:rFonts w:ascii="Times New Roman" w:hAnsi="Times New Roman"/>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12458" w:rsidRDefault="00012458" w:rsidP="007C4CEA">
      <w:pPr>
        <w:spacing w:after="100" w:afterAutospacing="1"/>
        <w:jc w:val="both"/>
        <w:rPr>
          <w:rFonts w:ascii="Times New Roman" w:hAnsi="Times New Roman"/>
          <w:b/>
        </w:rPr>
      </w:pPr>
      <w:r>
        <w:rPr>
          <w:rFonts w:ascii="Times New Roman" w:hAnsi="Times New Roman"/>
          <w:b/>
        </w:rPr>
        <w:t>Риски, связанные производными финансовыми инструментами</w:t>
      </w:r>
    </w:p>
    <w:p w:rsidR="00012458" w:rsidRDefault="00012458" w:rsidP="007C4CEA">
      <w:pPr>
        <w:ind w:firstLine="250"/>
        <w:jc w:val="both"/>
        <w:rPr>
          <w:rFonts w:ascii="Times New Roman" w:hAnsi="Times New Roman"/>
        </w:rPr>
      </w:pPr>
      <w:r>
        <w:rPr>
          <w:rFonts w:ascii="Times New Roman" w:hAnsi="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ind w:firstLine="250"/>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12458" w:rsidRDefault="00012458" w:rsidP="007C4CEA">
      <w:pPr>
        <w:ind w:firstLine="250"/>
        <w:jc w:val="both"/>
        <w:rPr>
          <w:rFonts w:ascii="Times New Roman" w:hAnsi="Times New Roman"/>
        </w:rPr>
      </w:pPr>
      <w:r>
        <w:rPr>
          <w:rFonts w:ascii="Times New Roman" w:hAnsi="Times New Roman"/>
        </w:rPr>
        <w:t>Рыночный (ценовой) риск</w:t>
      </w:r>
    </w:p>
    <w:p w:rsidR="00012458" w:rsidRDefault="00012458" w:rsidP="007C4CEA">
      <w:pPr>
        <w:ind w:firstLine="250"/>
        <w:jc w:val="both"/>
        <w:rPr>
          <w:rFonts w:ascii="Times New Roman" w:hAnsi="Times New Roman"/>
        </w:rPr>
      </w:pPr>
      <w:proofErr w:type="gramStart"/>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012458" w:rsidRDefault="00012458" w:rsidP="007C4CEA">
      <w:pPr>
        <w:ind w:firstLine="250"/>
        <w:jc w:val="both"/>
        <w:rPr>
          <w:rFonts w:ascii="Times New Roman" w:hAnsi="Times New Roman"/>
        </w:rPr>
      </w:pPr>
      <w:r>
        <w:rPr>
          <w:rFonts w:ascii="Times New Roman" w:hAnsi="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Риск ликвидности </w:t>
      </w:r>
    </w:p>
    <w:p w:rsidR="00012458" w:rsidRDefault="00012458" w:rsidP="007C4CEA">
      <w:pPr>
        <w:ind w:firstLine="250"/>
        <w:jc w:val="both"/>
        <w:rPr>
          <w:rFonts w:ascii="Times New Roman" w:hAnsi="Times New Roman"/>
        </w:rPr>
      </w:pPr>
      <w:r>
        <w:rPr>
          <w:rFonts w:ascii="Times New Roman" w:hAnsi="Times New Roman"/>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w:t>
      </w:r>
      <w:r>
        <w:rPr>
          <w:rFonts w:ascii="Times New Roman" w:hAnsi="Times New Roman"/>
        </w:rPr>
        <w:lastRenderedPageBreak/>
        <w:t>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ind w:firstLine="250"/>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ind w:firstLine="250"/>
        <w:jc w:val="both"/>
        <w:rPr>
          <w:rFonts w:ascii="Times New Roman" w:hAnsi="Times New Roman"/>
        </w:rPr>
      </w:pPr>
      <w:r>
        <w:rPr>
          <w:rFonts w:ascii="Times New Roman" w:hAnsi="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012458" w:rsidRDefault="00012458" w:rsidP="007C4CEA">
      <w:pPr>
        <w:ind w:firstLine="250"/>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Ограничение распоряжения средствами, являющимися обеспечением  </w:t>
      </w:r>
    </w:p>
    <w:p w:rsidR="00012458" w:rsidRDefault="00012458" w:rsidP="007C4CEA">
      <w:pPr>
        <w:ind w:firstLine="250"/>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Риск принудительного закрытия позиции</w:t>
      </w:r>
    </w:p>
    <w:p w:rsidR="00012458" w:rsidRDefault="00012458" w:rsidP="007C4CEA">
      <w:pPr>
        <w:ind w:firstLine="250"/>
        <w:jc w:val="both"/>
        <w:rPr>
          <w:rFonts w:ascii="Times New Roman" w:hAnsi="Times New Roman"/>
        </w:rPr>
      </w:pPr>
      <w:r>
        <w:rPr>
          <w:rFonts w:ascii="Times New Roman" w:hAnsi="Times New Roman"/>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ind w:firstLine="250"/>
        <w:jc w:val="both"/>
        <w:rPr>
          <w:rFonts w:ascii="Times New Roman" w:hAnsi="Times New Roman"/>
        </w:rPr>
      </w:pPr>
      <w:r>
        <w:rPr>
          <w:rFonts w:ascii="Times New Roman" w:hAnsi="Times New Roman"/>
        </w:rPr>
        <w:t xml:space="preserve">Принудительное закрытие позиции направлено на управление рисками. Вы можете понести значительные </w:t>
      </w:r>
      <w:proofErr w:type="gramStart"/>
      <w:r>
        <w:rPr>
          <w:rFonts w:ascii="Times New Roman" w:hAnsi="Times New Roman"/>
        </w:rPr>
        <w:t>убытки</w:t>
      </w:r>
      <w:proofErr w:type="gramEnd"/>
      <w:r>
        <w:rPr>
          <w:rFonts w:ascii="Times New Roman" w:hAnsi="Times New Roman"/>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12458" w:rsidRDefault="00012458"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012458" w:rsidRDefault="00012458" w:rsidP="007C4CEA">
      <w:pPr>
        <w:ind w:firstLine="250"/>
        <w:jc w:val="both"/>
        <w:rPr>
          <w:rFonts w:ascii="Times New Roman" w:hAnsi="Times New Roman"/>
          <w:b/>
        </w:rPr>
      </w:pPr>
      <w:r>
        <w:rPr>
          <w:rFonts w:ascii="Times New Roman" w:hAnsi="Times New Roman"/>
          <w:b/>
        </w:rPr>
        <w:lastRenderedPageBreak/>
        <w:t>Риски, обусловленные иностранным происхождением базисного актива</w:t>
      </w:r>
    </w:p>
    <w:p w:rsidR="00012458" w:rsidRDefault="00012458" w:rsidP="007C4CEA">
      <w:pPr>
        <w:spacing w:after="100" w:afterAutospacing="1"/>
        <w:ind w:firstLine="250"/>
        <w:jc w:val="both"/>
        <w:rPr>
          <w:rFonts w:ascii="Times New Roman" w:hAnsi="Times New Roman"/>
        </w:rPr>
      </w:pPr>
      <w:r>
        <w:rPr>
          <w:rFonts w:ascii="Times New Roman" w:hAnsi="Times New Roman"/>
        </w:rPr>
        <w:t>Системные риски</w:t>
      </w:r>
    </w:p>
    <w:p w:rsidR="00012458" w:rsidRDefault="00012458" w:rsidP="007C4CEA">
      <w:pPr>
        <w:spacing w:after="100" w:afterAutospacing="1"/>
        <w:ind w:firstLine="250"/>
        <w:jc w:val="both"/>
        <w:rPr>
          <w:rFonts w:ascii="Times New Roman" w:hAnsi="Times New Roman"/>
        </w:rPr>
      </w:pPr>
      <w:r>
        <w:rPr>
          <w:rFonts w:ascii="Times New Roman" w:hAnsi="Times New Roman"/>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иностранным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w:t>
      </w:r>
      <w:r>
        <w:rPr>
          <w:rFonts w:ascii="Times New Roman" w:hAnsi="Times New Roman"/>
        </w:rPr>
        <w:lastRenderedPageBreak/>
        <w:t>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012458">
      <w:pPr>
        <w:spacing w:line="240" w:lineRule="auto"/>
        <w:ind w:left="233" w:hanging="283"/>
        <w:jc w:val="right"/>
        <w:rPr>
          <w:rFonts w:ascii="Times New Roman" w:hAnsi="Times New Roman"/>
        </w:rPr>
      </w:pPr>
    </w:p>
    <w:p w:rsidR="007C4CEA" w:rsidRDefault="007C4CEA" w:rsidP="007C4CEA">
      <w:pPr>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rPr>
          <w:rFonts w:ascii="Arial" w:hAnsi="Arial" w:cs="Arial"/>
          <w:sz w:val="20"/>
          <w:szCs w:val="20"/>
        </w:rPr>
      </w:pPr>
      <w:r>
        <w:rPr>
          <w:rFonts w:ascii="Arial" w:hAnsi="Arial" w:cs="Arial"/>
          <w:sz w:val="20"/>
          <w:szCs w:val="20"/>
        </w:rPr>
        <w:t>Дата:</w:t>
      </w:r>
    </w:p>
    <w:p w:rsidR="00B41AED" w:rsidRDefault="00B41AED"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A50CFF">
      <w:pPr>
        <w:pStyle w:val="a3"/>
        <w:tabs>
          <w:tab w:val="clear" w:pos="2160"/>
        </w:tabs>
        <w:ind w:left="0" w:firstLine="0"/>
        <w:rPr>
          <w:rFonts w:ascii="Arial" w:hAnsi="Arial" w:cs="Arial"/>
        </w:rPr>
      </w:pPr>
    </w:p>
    <w:p w:rsidR="00E50143" w:rsidRPr="00E50143" w:rsidRDefault="00E50143" w:rsidP="00E50143">
      <w:pPr>
        <w:ind w:firstLine="250"/>
        <w:jc w:val="both"/>
        <w:rPr>
          <w:rFonts w:ascii="Times New Roman" w:hAnsi="Times New Roman"/>
          <w:b/>
        </w:rPr>
      </w:pPr>
      <w:r w:rsidRPr="00E50143">
        <w:rPr>
          <w:rFonts w:ascii="Times New Roman" w:hAnsi="Times New Roman"/>
          <w:b/>
        </w:rPr>
        <w:lastRenderedPageBreak/>
        <w:t>Декларация о рисках, связанных с приобретением ценных бумаг, включенных в</w:t>
      </w:r>
      <w:proofErr w:type="gramStart"/>
      <w:r w:rsidRPr="00E50143">
        <w:rPr>
          <w:rFonts w:ascii="Times New Roman" w:hAnsi="Times New Roman"/>
          <w:b/>
        </w:rPr>
        <w:t xml:space="preserve"> Т</w:t>
      </w:r>
      <w:proofErr w:type="gramEnd"/>
      <w:r w:rsidRPr="00E50143">
        <w:rPr>
          <w:rFonts w:ascii="Times New Roman" w:hAnsi="Times New Roman"/>
          <w:b/>
        </w:rPr>
        <w:t>ретий уровень, с объемом выпуска не более 1 млрд. руб., без кредитного рейтинга, присвоенного кредитным рейтинговым агентством эмитенту и/или выпуску</w:t>
      </w:r>
      <w:r w:rsidRPr="00E50143">
        <w:rPr>
          <w:rFonts w:ascii="Arial" w:hAnsi="Arial" w:cs="Arial"/>
          <w:b/>
          <w:bCs/>
          <w:color w:val="333333"/>
        </w:rPr>
        <w:t xml:space="preserve"> </w:t>
      </w:r>
      <w:r>
        <w:rPr>
          <w:rFonts w:ascii="Arial" w:hAnsi="Arial" w:cs="Arial"/>
          <w:b/>
          <w:bCs/>
          <w:color w:val="333333"/>
        </w:rPr>
        <w:t>(</w:t>
      </w:r>
      <w:r w:rsidRPr="00E50143">
        <w:rPr>
          <w:rFonts w:ascii="Times New Roman" w:hAnsi="Times New Roman"/>
          <w:b/>
        </w:rPr>
        <w:t>Сектор компаний повышенного инвестиционного риска</w:t>
      </w:r>
      <w:r>
        <w:rPr>
          <w:rFonts w:ascii="Times New Roman" w:hAnsi="Times New Roman"/>
          <w:b/>
        </w:rPr>
        <w:t>)</w:t>
      </w:r>
      <w:r w:rsidRPr="00E50143">
        <w:rPr>
          <w:rFonts w:ascii="Times New Roman" w:hAnsi="Times New Roman"/>
          <w:b/>
        </w:rPr>
        <w:t xml:space="preserve"> </w:t>
      </w:r>
    </w:p>
    <w:p w:rsidR="00A50CFF" w:rsidRDefault="00E50143" w:rsidP="00B41AED">
      <w:pPr>
        <w:pStyle w:val="a3"/>
        <w:tabs>
          <w:tab w:val="clear" w:pos="2160"/>
        </w:tabs>
        <w:ind w:left="0" w:firstLine="284"/>
      </w:pPr>
      <w:proofErr w:type="gramStart"/>
      <w:r>
        <w:t xml:space="preserve">Настоящая Декларация содержит в себе описание рисков, связанных с инвестированием средств в ценные бумаги, включенные в </w:t>
      </w:r>
      <w:proofErr w:type="spellStart"/>
      <w:r>
        <w:t>некотировальную</w:t>
      </w:r>
      <w:proofErr w:type="spellEnd"/>
      <w:r>
        <w:t xml:space="preserve"> часть Списка ценных бумаг, допущенных к торгам в ПАО Московская Биржа (далее – Третий уровень), с объемом выпуска не более 1 млрд. руб. (применительно для облигаций), без кредитного рейтинга, присвоенного кредитным рейтинговым агентством эмитенту и/или выпуску (далее – Ценные бумаги) (не применимо для облигаций</w:t>
      </w:r>
      <w:proofErr w:type="gramEnd"/>
      <w:r>
        <w:t xml:space="preserve">, по которым предусмотрена финансовая поддержка/гарантия от одного из институтов развития в области поддержки малого и среднего предпринимательства). </w:t>
      </w:r>
    </w:p>
    <w:p w:rsidR="00A50CFF" w:rsidRDefault="00E50143" w:rsidP="00B41AED">
      <w:pPr>
        <w:pStyle w:val="a3"/>
        <w:tabs>
          <w:tab w:val="clear" w:pos="2160"/>
        </w:tabs>
        <w:ind w:left="0" w:firstLine="284"/>
      </w:pPr>
      <w:r>
        <w:t>Инвестиционная деятельность с ценными бумагами, включенными в</w:t>
      </w:r>
      <w:proofErr w:type="gramStart"/>
      <w:r>
        <w:t xml:space="preserve"> Т</w:t>
      </w:r>
      <w:proofErr w:type="gramEnd"/>
      <w:r>
        <w:t xml:space="preserve">ретий уровень, отличается повышенной степенью риска поскольку предполагает включение в указанный уровень листинга ценных бумаг новых небольших компаний, а также компаний, использующих в своей деятельности новые и специфические технологии, научные исследования и пр. </w:t>
      </w:r>
    </w:p>
    <w:p w:rsidR="00A50CFF" w:rsidRDefault="00E50143" w:rsidP="00B41AED">
      <w:pPr>
        <w:pStyle w:val="a3"/>
        <w:tabs>
          <w:tab w:val="clear" w:pos="2160"/>
        </w:tabs>
        <w:ind w:left="0" w:firstLine="284"/>
      </w:pPr>
      <w:r>
        <w:t>Инвестирование в ценные бумаги указанных компаний несет в себе не только рыночный риск инвестиций в ценные бумаги, но и повышенный риск специфической деятельности компании. Указанные компании и их облигационные выпуски не были исследованы кредитными рейтинговыми агентствами, и не имеют оценок их кредитного качества. Совершение сделок с данными ценными бумагами может привести к потере не только ожидаемого дохода от инвестируемых средств, но и к потерям инвестируемых средств.</w:t>
      </w:r>
    </w:p>
    <w:p w:rsidR="00A50CFF" w:rsidRDefault="00E50143" w:rsidP="00B41AED">
      <w:pPr>
        <w:pStyle w:val="a3"/>
        <w:tabs>
          <w:tab w:val="clear" w:pos="2160"/>
        </w:tabs>
        <w:ind w:left="0" w:firstLine="284"/>
      </w:pPr>
      <w:r>
        <w:t xml:space="preserve">Обращаем Ваше внимание на то, что вследствие разнообразия ситуаций, возникающих на рынке ценных бумаг, перечень рисков в настоящей Декларации не является исчерпывающим и не раскрывает информации обо всех рисках, связанных с инвестированием в Ценные бумаги. Инвестированию в ценные бумаги указанных компаний присущи общие риски, связанные с операциями на рынке ценных бумаг, с особенностями, рассмотренными ниже. </w:t>
      </w:r>
    </w:p>
    <w:p w:rsidR="00A50CFF" w:rsidRDefault="00E50143" w:rsidP="00B41AED">
      <w:pPr>
        <w:pStyle w:val="a3"/>
        <w:tabs>
          <w:tab w:val="clear" w:pos="2160"/>
        </w:tabs>
        <w:ind w:left="0" w:firstLine="284"/>
      </w:pPr>
      <w: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потери Клиентом своих инвестированных активов. </w:t>
      </w:r>
    </w:p>
    <w:p w:rsidR="00A50CFF" w:rsidRDefault="00E50143" w:rsidP="00B41AED">
      <w:pPr>
        <w:pStyle w:val="a3"/>
        <w:tabs>
          <w:tab w:val="clear" w:pos="2160"/>
        </w:tabs>
        <w:ind w:left="0" w:firstLine="284"/>
      </w:pPr>
      <w:r w:rsidRPr="00A50CFF">
        <w:rPr>
          <w:b/>
        </w:rPr>
        <w:t>Риск увеличения затрат на исследование</w:t>
      </w:r>
      <w:r>
        <w:t xml:space="preserve"> </w:t>
      </w:r>
    </w:p>
    <w:p w:rsidR="00A50CFF" w:rsidRDefault="00E50143" w:rsidP="00B41AED">
      <w:pPr>
        <w:pStyle w:val="a3"/>
        <w:tabs>
          <w:tab w:val="clear" w:pos="2160"/>
        </w:tabs>
        <w:ind w:left="0" w:firstLine="284"/>
      </w:pPr>
      <w:r>
        <w:t>В силу того, что компании - эмитенты Ценных бумаг часто работают в «нестандартных» секторах экономики, и на них распространяются облегченные требования к раскрытию информации (в т.ч. финансовой отчетности), что сопряжено с недостатком информационно</w:t>
      </w:r>
      <w:r w:rsidR="00A50CFF">
        <w:t>-</w:t>
      </w:r>
      <w:r>
        <w:t xml:space="preserve">аналитического материала, схем и методов анализа таких компаний. Таким образом, будет достаточно сложно сделать глубокую профессиональную оценку таких компаний и определить перспективы их развития, либо это может сопровождаться увеличением затрат на такое исследование. Отсутствие такой оценки может вызвать затруднения при выборе компании для инвестирования своих активов. </w:t>
      </w:r>
    </w:p>
    <w:p w:rsidR="00A50CFF" w:rsidRDefault="00E50143" w:rsidP="00B41AED">
      <w:pPr>
        <w:pStyle w:val="a3"/>
        <w:tabs>
          <w:tab w:val="clear" w:pos="2160"/>
        </w:tabs>
        <w:ind w:left="0" w:firstLine="284"/>
      </w:pPr>
      <w:r w:rsidRPr="00A50CFF">
        <w:rPr>
          <w:b/>
        </w:rPr>
        <w:t>Риск, связанный с оценкой инвестиционного проекта компании</w:t>
      </w:r>
      <w:r>
        <w:t xml:space="preserve"> </w:t>
      </w:r>
    </w:p>
    <w:p w:rsidR="00A50CFF" w:rsidRDefault="00E50143" w:rsidP="00B41AED">
      <w:pPr>
        <w:pStyle w:val="a3"/>
        <w:tabs>
          <w:tab w:val="clear" w:pos="2160"/>
        </w:tabs>
        <w:ind w:left="0" w:firstLine="284"/>
      </w:pPr>
      <w:proofErr w:type="gramStart"/>
      <w:r>
        <w:t>Одной из целей выхода на фондовой рынок эмитентов Ценных бумаг может быть привлечение дополнительных средств под какой-либо инвестиционный проект, реализация которого, по мнению менеджеров компании, будет способствовать росту ее капитализации.</w:t>
      </w:r>
      <w:proofErr w:type="gramEnd"/>
      <w:r>
        <w:t xml:space="preserve"> Однако в силу специфики развития некоторых секторов экономики, в которых осуществляют свою деятельность данные компании, может сложиться ситуация, при которой сложно будет сформировать профессиональную оценку предлагаемого компанией инвестиционного проекта. </w:t>
      </w:r>
    </w:p>
    <w:p w:rsidR="00A50CFF" w:rsidRDefault="00E50143" w:rsidP="00B41AED">
      <w:pPr>
        <w:pStyle w:val="a3"/>
        <w:tabs>
          <w:tab w:val="clear" w:pos="2160"/>
        </w:tabs>
        <w:ind w:left="0" w:firstLine="284"/>
      </w:pPr>
      <w:r w:rsidRPr="00A50CFF">
        <w:rPr>
          <w:b/>
        </w:rPr>
        <w:t>Финансово-экономические, правовые, политические риски</w:t>
      </w:r>
      <w:r>
        <w:t xml:space="preserve"> </w:t>
      </w:r>
    </w:p>
    <w:p w:rsidR="00A50CFF" w:rsidRDefault="00E50143" w:rsidP="00B41AED">
      <w:pPr>
        <w:pStyle w:val="a3"/>
        <w:tabs>
          <w:tab w:val="clear" w:pos="2160"/>
        </w:tabs>
        <w:ind w:left="0" w:firstLine="284"/>
      </w:pPr>
      <w:r>
        <w:t xml:space="preserve">Небольшие компании – эмитенты Ценных бумаг более зависимы от внешних факторов, в том числе от </w:t>
      </w:r>
      <w:proofErr w:type="spellStart"/>
      <w:proofErr w:type="gramStart"/>
      <w:r>
        <w:t>макро-экономической</w:t>
      </w:r>
      <w:proofErr w:type="spellEnd"/>
      <w:proofErr w:type="gramEnd"/>
      <w:r>
        <w:t xml:space="preserve"> обстановки. Данные компании обладают сравнительно меньшими размерами бизнеса и ресурсами, и, как следствие, меньшей устойчивостью в случае изменения финансово-экономической или правовой ситуации в стране. Риск инновационного решения Эмитенты Ценных бумаг могут входить в т.ч. в инновационный сектор экономики. Это связано с тем, что такие компании стараются осваивать и внедрять новые методы и технологии введения бизнеса, призванные способствовать ее росту и увеличению капитализации. Тем не менее, не всегда инновационные решения имеют консервативный уровень риска. Недостаточная эффективность такого решения может привести к потере времени и инвестированных на внедрение данного решения средств, что негативным образом отразится на финансовом положении компании и стоимости ее акций. Особенностью инновационных компаний является высокая доля нематериальных активов и интеллектуальной собственности в структуре активов компании, что усложняет анализ и прогноз показателей её деятельности. </w:t>
      </w:r>
    </w:p>
    <w:p w:rsidR="00A50CFF" w:rsidRDefault="00E50143" w:rsidP="00B41AED">
      <w:pPr>
        <w:pStyle w:val="a3"/>
        <w:tabs>
          <w:tab w:val="clear" w:pos="2160"/>
        </w:tabs>
        <w:ind w:left="0" w:firstLine="284"/>
      </w:pPr>
      <w:r w:rsidRPr="00A50CFF">
        <w:rPr>
          <w:b/>
        </w:rPr>
        <w:lastRenderedPageBreak/>
        <w:t>Риск низкой ликвидности</w:t>
      </w:r>
      <w:r>
        <w:t xml:space="preserve"> </w:t>
      </w:r>
    </w:p>
    <w:p w:rsidR="00A50CFF" w:rsidRDefault="00E50143" w:rsidP="00B41AED">
      <w:pPr>
        <w:pStyle w:val="a3"/>
        <w:tabs>
          <w:tab w:val="clear" w:pos="2160"/>
        </w:tabs>
        <w:ind w:left="0" w:firstLine="284"/>
      </w:pPr>
      <w:r>
        <w:t xml:space="preserve">Риск ликвидности заключается в изменении оценки ценных бумаг в сторону уменьшения, вплоть до потери ликвидности, в результате чего становится невозможным реализовать ценные бумаги в нужное время по желаемой цене. В силу небольшого объема выпуска и низкой ликвидности ценные бумаги могут иметь большой спрэд. Это означает, что даже правильный прогноз относительно перспектив роста таких активов далеко не всегда позволяет получить прибыль в конкретный момент времени. </w:t>
      </w:r>
    </w:p>
    <w:p w:rsidR="00A50CFF" w:rsidRDefault="00E50143" w:rsidP="00B41AED">
      <w:pPr>
        <w:pStyle w:val="a3"/>
        <w:tabs>
          <w:tab w:val="clear" w:pos="2160"/>
        </w:tabs>
        <w:ind w:left="0" w:firstLine="284"/>
      </w:pPr>
      <w:r w:rsidRPr="00A50CFF">
        <w:rPr>
          <w:b/>
        </w:rPr>
        <w:t>Риск банкротства эмитента</w:t>
      </w:r>
      <w:r>
        <w:t xml:space="preserve"> </w:t>
      </w:r>
    </w:p>
    <w:p w:rsidR="00A50CFF" w:rsidRDefault="00E50143" w:rsidP="00B41AED">
      <w:pPr>
        <w:pStyle w:val="a3"/>
        <w:tabs>
          <w:tab w:val="clear" w:pos="2160"/>
        </w:tabs>
        <w:ind w:left="0" w:firstLine="284"/>
      </w:pPr>
      <w:r>
        <w:t xml:space="preserve">Данный риск заключается в возможности наступления неплатежеспособности компании, что приведет к резкому падению цены и потере ликвидности ценных бумаг компании или невозможности погасить ценные бумаги (в случае с долговыми ценными бумагами). </w:t>
      </w:r>
    </w:p>
    <w:p w:rsidR="00A50CFF" w:rsidRDefault="00E50143" w:rsidP="00B41AED">
      <w:pPr>
        <w:pStyle w:val="a3"/>
        <w:tabs>
          <w:tab w:val="clear" w:pos="2160"/>
        </w:tabs>
        <w:ind w:left="0" w:firstLine="284"/>
      </w:pPr>
      <w:r>
        <w:t xml:space="preserve">Данная Декларация не имеет своей целью отказ потенциальных инвесторов от осуществления операций с Ценными бумагами. Декларация призвана помочь инвестору понять и оценить риски, связанные с инвестированием в такие Ценные бумаги, способствуя тем самым, принятию взвешенных инвестиционных решений. </w:t>
      </w:r>
    </w:p>
    <w:p w:rsidR="00E50143" w:rsidRDefault="00E50143" w:rsidP="00B41AED">
      <w:pPr>
        <w:pStyle w:val="a3"/>
        <w:tabs>
          <w:tab w:val="clear" w:pos="2160"/>
        </w:tabs>
        <w:ind w:left="0" w:firstLine="284"/>
      </w:pPr>
      <w:r>
        <w:t>Учитывая вышеизложенное, рекомендуем внимательно рассмотреть вопрос о том, являются ли риски, возникающие при проведении операций с Ценными бумагами, приемлемыми для инвестора с учетом его инвестиционных целей и финансовых возможностей.</w:t>
      </w:r>
    </w:p>
    <w:p w:rsidR="00A50CFF" w:rsidRDefault="00A50CFF" w:rsidP="00B41AED">
      <w:pPr>
        <w:pStyle w:val="a3"/>
        <w:tabs>
          <w:tab w:val="clear" w:pos="2160"/>
        </w:tabs>
        <w:ind w:left="0" w:firstLine="284"/>
      </w:pPr>
    </w:p>
    <w:p w:rsidR="00A50CFF" w:rsidRDefault="00A50CFF" w:rsidP="00B41AED">
      <w:pPr>
        <w:pStyle w:val="a3"/>
        <w:tabs>
          <w:tab w:val="clear" w:pos="2160"/>
        </w:tabs>
        <w:ind w:left="0" w:firstLine="284"/>
      </w:pPr>
    </w:p>
    <w:p w:rsidR="00A50CFF" w:rsidRDefault="00A50CFF" w:rsidP="00A50CFF">
      <w:pPr>
        <w:rPr>
          <w:rFonts w:ascii="Arial" w:hAnsi="Arial" w:cs="Arial"/>
          <w:sz w:val="20"/>
          <w:szCs w:val="20"/>
        </w:rPr>
      </w:pPr>
      <w:r>
        <w:rPr>
          <w:rFonts w:ascii="Arial" w:hAnsi="Arial" w:cs="Arial"/>
          <w:sz w:val="20"/>
          <w:szCs w:val="20"/>
        </w:rPr>
        <w:t>Подпись Клиента: _____________________________________________________________</w:t>
      </w:r>
    </w:p>
    <w:p w:rsidR="00A50CFF" w:rsidRDefault="00A50CFF" w:rsidP="00A50CFF">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A50CFF" w:rsidRDefault="00A50CFF" w:rsidP="00A50CFF">
      <w:pPr>
        <w:rPr>
          <w:rFonts w:ascii="Arial" w:hAnsi="Arial" w:cs="Arial"/>
          <w:sz w:val="20"/>
          <w:szCs w:val="20"/>
        </w:rPr>
      </w:pPr>
      <w:r>
        <w:rPr>
          <w:rFonts w:ascii="Arial" w:hAnsi="Arial" w:cs="Arial"/>
          <w:sz w:val="20"/>
          <w:szCs w:val="20"/>
        </w:rPr>
        <w:t>Дата:</w:t>
      </w:r>
    </w:p>
    <w:p w:rsidR="00A50CFF" w:rsidRDefault="00A50CFF"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B69EB" w:rsidRDefault="00411504">
      <w:pPr>
        <w:ind w:firstLine="250"/>
        <w:jc w:val="center"/>
        <w:rPr>
          <w:rFonts w:ascii="Times New Roman" w:hAnsi="Times New Roman"/>
          <w:b/>
        </w:rPr>
      </w:pPr>
      <w:r w:rsidRPr="00411504">
        <w:rPr>
          <w:rFonts w:ascii="Times New Roman" w:hAnsi="Times New Roman"/>
          <w:b/>
        </w:rPr>
        <w:t>Декларация о рисках и правах, связанных с учетом и хранением денежных сре</w:t>
      </w:r>
      <w:proofErr w:type="gramStart"/>
      <w:r w:rsidRPr="00411504">
        <w:rPr>
          <w:rFonts w:ascii="Times New Roman" w:hAnsi="Times New Roman"/>
          <w:b/>
        </w:rPr>
        <w:t>дств Кл</w:t>
      </w:r>
      <w:proofErr w:type="gramEnd"/>
      <w:r w:rsidRPr="00411504">
        <w:rPr>
          <w:rFonts w:ascii="Times New Roman" w:hAnsi="Times New Roman"/>
          <w:b/>
        </w:rPr>
        <w:t>иента, переданных брокеру</w:t>
      </w:r>
    </w:p>
    <w:p w:rsidR="000B69EB"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411504">
        <w:rPr>
          <w:rFonts w:ascii="Times New Roman" w:eastAsia="Times New Roman" w:hAnsi="Times New Roman"/>
          <w:sz w:val="20"/>
          <w:szCs w:val="20"/>
          <w:lang w:eastAsia="ru-RU"/>
        </w:rPr>
        <w:t>что</w:t>
      </w:r>
      <w:proofErr w:type="gramEnd"/>
      <w:r w:rsidRPr="00411504">
        <w:rPr>
          <w:rFonts w:ascii="Times New Roman" w:eastAsia="Times New Roman" w:hAnsi="Times New Roman"/>
          <w:sz w:val="20"/>
          <w:szCs w:val="20"/>
          <w:lang w:eastAsia="ru-RU"/>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0B69EB"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411504">
        <w:rPr>
          <w:rFonts w:ascii="Times New Roman" w:eastAsia="Times New Roman" w:hAnsi="Times New Roman"/>
          <w:sz w:val="20"/>
          <w:szCs w:val="20"/>
          <w:lang w:eastAsia="ru-RU"/>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411504">
        <w:rPr>
          <w:rFonts w:ascii="Times New Roman" w:eastAsia="Times New Roman" w:hAnsi="Times New Roman"/>
          <w:sz w:val="20"/>
          <w:szCs w:val="20"/>
          <w:lang w:eastAsia="ru-RU"/>
        </w:rPr>
        <w:t xml:space="preserve"> программного обеспечения. </w:t>
      </w:r>
    </w:p>
    <w:p w:rsidR="000B69EB"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0B69EB"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Учитывая вышеизложенное,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0A6CD5" w:rsidRDefault="000A6CD5" w:rsidP="000A6CD5">
      <w:pPr>
        <w:rPr>
          <w:rFonts w:ascii="Times New Roman" w:eastAsia="Times New Roman" w:hAnsi="Times New Roman"/>
          <w:sz w:val="20"/>
          <w:szCs w:val="20"/>
          <w:lang w:eastAsia="ru-RU"/>
        </w:rPr>
      </w:pPr>
    </w:p>
    <w:p w:rsidR="000A6CD5" w:rsidRDefault="000A6CD5" w:rsidP="000A6CD5">
      <w:pPr>
        <w:pStyle w:val="a3"/>
        <w:tabs>
          <w:tab w:val="clear" w:pos="2160"/>
        </w:tabs>
        <w:ind w:left="0" w:firstLine="284"/>
      </w:pPr>
    </w:p>
    <w:p w:rsidR="000A6CD5" w:rsidRDefault="000A6CD5" w:rsidP="000A6CD5">
      <w:pPr>
        <w:rPr>
          <w:rFonts w:ascii="Arial" w:hAnsi="Arial" w:cs="Arial"/>
          <w:sz w:val="20"/>
          <w:szCs w:val="20"/>
        </w:rPr>
      </w:pPr>
      <w:r>
        <w:rPr>
          <w:rFonts w:ascii="Arial" w:hAnsi="Arial" w:cs="Arial"/>
          <w:sz w:val="20"/>
          <w:szCs w:val="20"/>
        </w:rPr>
        <w:t>Подпись Клиента: _____________________________________________________________</w:t>
      </w:r>
    </w:p>
    <w:p w:rsidR="000A6CD5" w:rsidRDefault="000A6CD5" w:rsidP="000A6CD5">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0A6CD5" w:rsidRDefault="000A6CD5" w:rsidP="000A6CD5">
      <w:pPr>
        <w:rPr>
          <w:rFonts w:ascii="Arial" w:hAnsi="Arial" w:cs="Arial"/>
          <w:sz w:val="20"/>
          <w:szCs w:val="20"/>
        </w:rPr>
      </w:pPr>
      <w:r>
        <w:rPr>
          <w:rFonts w:ascii="Arial" w:hAnsi="Arial" w:cs="Arial"/>
          <w:sz w:val="20"/>
          <w:szCs w:val="20"/>
        </w:rPr>
        <w:t>Дата:</w:t>
      </w:r>
    </w:p>
    <w:p w:rsidR="000A6CD5" w:rsidRPr="000A6CD5" w:rsidRDefault="000A6CD5" w:rsidP="000A6CD5">
      <w:pPr>
        <w:rPr>
          <w:rFonts w:ascii="Times New Roman" w:hAnsi="Times New Roman"/>
        </w:rPr>
      </w:pPr>
    </w:p>
    <w:sectPr w:rsidR="000A6CD5" w:rsidRPr="000A6CD5" w:rsidSect="001D4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trackRevisions/>
  <w:defaultTabStop w:val="708"/>
  <w:characterSpacingControl w:val="doNotCompress"/>
  <w:compat/>
  <w:rsids>
    <w:rsidRoot w:val="005B4A61"/>
    <w:rsid w:val="00012458"/>
    <w:rsid w:val="00047E20"/>
    <w:rsid w:val="000A6CD5"/>
    <w:rsid w:val="000B69EB"/>
    <w:rsid w:val="00123361"/>
    <w:rsid w:val="001D4E2A"/>
    <w:rsid w:val="00254B0A"/>
    <w:rsid w:val="00313232"/>
    <w:rsid w:val="00332E69"/>
    <w:rsid w:val="00390B9D"/>
    <w:rsid w:val="003928C6"/>
    <w:rsid w:val="00411504"/>
    <w:rsid w:val="00463C86"/>
    <w:rsid w:val="0049677B"/>
    <w:rsid w:val="00535BD6"/>
    <w:rsid w:val="005B4A61"/>
    <w:rsid w:val="005C139A"/>
    <w:rsid w:val="005C2253"/>
    <w:rsid w:val="006359AF"/>
    <w:rsid w:val="006849EA"/>
    <w:rsid w:val="006D417B"/>
    <w:rsid w:val="006F6A2D"/>
    <w:rsid w:val="00766B73"/>
    <w:rsid w:val="007C4CEA"/>
    <w:rsid w:val="00800C35"/>
    <w:rsid w:val="0082694D"/>
    <w:rsid w:val="008C06AD"/>
    <w:rsid w:val="009227D9"/>
    <w:rsid w:val="009634A4"/>
    <w:rsid w:val="009B3BE1"/>
    <w:rsid w:val="009E3CA9"/>
    <w:rsid w:val="00A34862"/>
    <w:rsid w:val="00A50CFF"/>
    <w:rsid w:val="00AC39D8"/>
    <w:rsid w:val="00B41AED"/>
    <w:rsid w:val="00B47174"/>
    <w:rsid w:val="00B64DFB"/>
    <w:rsid w:val="00CE7EA9"/>
    <w:rsid w:val="00E50143"/>
    <w:rsid w:val="00F8548D"/>
    <w:rsid w:val="00FA5F1E"/>
    <w:rsid w:val="00FF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A6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855329">
      <w:bodyDiv w:val="1"/>
      <w:marLeft w:val="0"/>
      <w:marRight w:val="0"/>
      <w:marTop w:val="0"/>
      <w:marBottom w:val="0"/>
      <w:divBdr>
        <w:top w:val="none" w:sz="0" w:space="0" w:color="auto"/>
        <w:left w:val="none" w:sz="0" w:space="0" w:color="auto"/>
        <w:bottom w:val="none" w:sz="0" w:space="0" w:color="auto"/>
        <w:right w:val="none" w:sz="0" w:space="0" w:color="auto"/>
      </w:divBdr>
    </w:div>
    <w:div w:id="382364621">
      <w:bodyDiv w:val="1"/>
      <w:marLeft w:val="0"/>
      <w:marRight w:val="0"/>
      <w:marTop w:val="0"/>
      <w:marBottom w:val="0"/>
      <w:divBdr>
        <w:top w:val="none" w:sz="0" w:space="0" w:color="auto"/>
        <w:left w:val="none" w:sz="0" w:space="0" w:color="auto"/>
        <w:bottom w:val="none" w:sz="0" w:space="0" w:color="auto"/>
        <w:right w:val="none" w:sz="0" w:space="0" w:color="auto"/>
      </w:divBdr>
    </w:div>
    <w:div w:id="536626737">
      <w:bodyDiv w:val="1"/>
      <w:marLeft w:val="0"/>
      <w:marRight w:val="0"/>
      <w:marTop w:val="0"/>
      <w:marBottom w:val="0"/>
      <w:divBdr>
        <w:top w:val="none" w:sz="0" w:space="0" w:color="auto"/>
        <w:left w:val="none" w:sz="0" w:space="0" w:color="auto"/>
        <w:bottom w:val="none" w:sz="0" w:space="0" w:color="auto"/>
        <w:right w:val="none" w:sz="0" w:space="0" w:color="auto"/>
      </w:divBdr>
    </w:div>
    <w:div w:id="750156813">
      <w:bodyDiv w:val="1"/>
      <w:marLeft w:val="0"/>
      <w:marRight w:val="0"/>
      <w:marTop w:val="0"/>
      <w:marBottom w:val="0"/>
      <w:divBdr>
        <w:top w:val="none" w:sz="0" w:space="0" w:color="auto"/>
        <w:left w:val="none" w:sz="0" w:space="0" w:color="auto"/>
        <w:bottom w:val="none" w:sz="0" w:space="0" w:color="auto"/>
        <w:right w:val="none" w:sz="0" w:space="0" w:color="auto"/>
      </w:divBdr>
    </w:div>
    <w:div w:id="1037660696">
      <w:bodyDiv w:val="1"/>
      <w:marLeft w:val="0"/>
      <w:marRight w:val="0"/>
      <w:marTop w:val="0"/>
      <w:marBottom w:val="0"/>
      <w:divBdr>
        <w:top w:val="none" w:sz="0" w:space="0" w:color="auto"/>
        <w:left w:val="none" w:sz="0" w:space="0" w:color="auto"/>
        <w:bottom w:val="none" w:sz="0" w:space="0" w:color="auto"/>
        <w:right w:val="none" w:sz="0" w:space="0" w:color="auto"/>
      </w:divBdr>
    </w:div>
    <w:div w:id="1262763485">
      <w:bodyDiv w:val="1"/>
      <w:marLeft w:val="0"/>
      <w:marRight w:val="0"/>
      <w:marTop w:val="0"/>
      <w:marBottom w:val="0"/>
      <w:divBdr>
        <w:top w:val="none" w:sz="0" w:space="0" w:color="auto"/>
        <w:left w:val="none" w:sz="0" w:space="0" w:color="auto"/>
        <w:bottom w:val="none" w:sz="0" w:space="0" w:color="auto"/>
        <w:right w:val="none" w:sz="0" w:space="0" w:color="auto"/>
      </w:divBdr>
    </w:div>
    <w:div w:id="1406297440">
      <w:bodyDiv w:val="1"/>
      <w:marLeft w:val="0"/>
      <w:marRight w:val="0"/>
      <w:marTop w:val="0"/>
      <w:marBottom w:val="0"/>
      <w:divBdr>
        <w:top w:val="none" w:sz="0" w:space="0" w:color="auto"/>
        <w:left w:val="none" w:sz="0" w:space="0" w:color="auto"/>
        <w:bottom w:val="none" w:sz="0" w:space="0" w:color="auto"/>
        <w:right w:val="none" w:sz="0" w:space="0" w:color="auto"/>
      </w:divBdr>
    </w:div>
    <w:div w:id="1694915079">
      <w:bodyDiv w:val="1"/>
      <w:marLeft w:val="0"/>
      <w:marRight w:val="0"/>
      <w:marTop w:val="0"/>
      <w:marBottom w:val="0"/>
      <w:divBdr>
        <w:top w:val="none" w:sz="0" w:space="0" w:color="auto"/>
        <w:left w:val="none" w:sz="0" w:space="0" w:color="auto"/>
        <w:bottom w:val="none" w:sz="0" w:space="0" w:color="auto"/>
        <w:right w:val="none" w:sz="0" w:space="0" w:color="auto"/>
      </w:divBdr>
    </w:div>
    <w:div w:id="1889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6893</Words>
  <Characters>39294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46095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rykunov</dc:creator>
  <cp:lastModifiedBy>karpakova</cp:lastModifiedBy>
  <cp:revision>2</cp:revision>
  <dcterms:created xsi:type="dcterms:W3CDTF">2022-07-06T11:39:00Z</dcterms:created>
  <dcterms:modified xsi:type="dcterms:W3CDTF">2022-07-06T11:39:00Z</dcterms:modified>
</cp:coreProperties>
</file>