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>ПАО «Бест Эффортс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996"/>
        <w:gridCol w:w="4394"/>
      </w:tblGrid>
      <w:tr w:rsidR="00757A96" w:rsidRPr="00363594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Default="00E1531A" w:rsidP="006B137C">
            <w:pPr>
              <w:pStyle w:val="af9"/>
              <w:rPr>
                <w:rFonts w:ascii="Arial" w:hAnsi="Arial" w:cs="Arial"/>
              </w:rPr>
            </w:pPr>
            <w:hyperlink r:id="rId8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– юридического лица нерезидента</w:t>
              </w:r>
            </w:hyperlink>
            <w:r w:rsidR="00A63ECC" w:rsidRPr="00303001">
              <w:rPr>
                <w:rFonts w:ascii="Arial" w:hAnsi="Arial" w:cs="Arial"/>
              </w:rPr>
              <w:t xml:space="preserve"> (для юридического лица</w:t>
            </w:r>
            <w:r w:rsidR="008B582A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нерезидента) и (или) </w:t>
            </w:r>
            <w:r w:rsidR="007D184E" w:rsidRPr="00303001">
              <w:rPr>
                <w:rFonts w:ascii="Arial" w:hAnsi="Arial" w:cs="Arial"/>
              </w:rPr>
              <w:t xml:space="preserve"> </w:t>
            </w:r>
            <w:hyperlink r:id="rId9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- кредитной организации</w:t>
              </w:r>
            </w:hyperlink>
            <w:r w:rsidR="001110D2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>(для юридического лица</w:t>
            </w:r>
            <w:r w:rsidR="002A74ED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 – кредитной организации) </w:t>
            </w:r>
            <w:r w:rsidR="001110D2" w:rsidRPr="00303001">
              <w:rPr>
                <w:rFonts w:ascii="Arial" w:hAnsi="Arial" w:cs="Arial"/>
              </w:rPr>
              <w:t>(далее – Анкета Клиента)</w:t>
            </w:r>
            <w:r w:rsidR="007D184E" w:rsidRPr="00303001">
              <w:rPr>
                <w:rFonts w:ascii="Arial" w:hAnsi="Arial" w:cs="Arial"/>
              </w:rPr>
              <w:t xml:space="preserve">, </w:t>
            </w:r>
            <w:r w:rsidR="00086CE0" w:rsidRPr="00303001">
              <w:rPr>
                <w:rFonts w:ascii="Arial" w:hAnsi="Arial" w:cs="Arial"/>
              </w:rPr>
              <w:t xml:space="preserve">по форме, установленной Банком и размещенной на </w:t>
            </w:r>
            <w:r w:rsidR="002E5235" w:rsidRPr="00303001">
              <w:rPr>
                <w:rFonts w:ascii="Arial" w:hAnsi="Arial" w:cs="Arial"/>
              </w:rPr>
              <w:t>сайте</w:t>
            </w:r>
            <w:r w:rsidR="00086CE0" w:rsidRPr="00303001">
              <w:rPr>
                <w:rFonts w:ascii="Arial" w:hAnsi="Arial" w:cs="Arial"/>
              </w:rPr>
              <w:t xml:space="preserve"> Банка в сети Интернет, </w:t>
            </w:r>
            <w:r w:rsidR="005348E2" w:rsidRPr="005348E2">
              <w:rPr>
                <w:rFonts w:ascii="Arial" w:hAnsi="Arial" w:cs="Arial"/>
              </w:rPr>
              <w:t xml:space="preserve">подписанная руководителем  нерезидента/уполномоченным представителем </w:t>
            </w:r>
            <w:proofErr w:type="gramStart"/>
            <w:r w:rsidR="005348E2" w:rsidRPr="005348E2">
              <w:rPr>
                <w:rFonts w:ascii="Arial" w:hAnsi="Arial" w:cs="Arial"/>
              </w:rPr>
              <w:t>-н</w:t>
            </w:r>
            <w:proofErr w:type="gramEnd"/>
            <w:r w:rsidR="005348E2" w:rsidRPr="005348E2">
              <w:rPr>
                <w:rFonts w:ascii="Arial" w:hAnsi="Arial" w:cs="Arial"/>
              </w:rPr>
              <w:t>ерезидента, действующим на основании доверенности, подтверждающей полномочия лица.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В целях указания в </w:t>
            </w:r>
            <w:r w:rsidR="001110D2" w:rsidRPr="00303001">
              <w:rPr>
                <w:rFonts w:ascii="Arial" w:hAnsi="Arial" w:cs="Arial"/>
              </w:rPr>
              <w:t>А</w:t>
            </w:r>
            <w:r w:rsidRPr="00303001">
              <w:rPr>
                <w:rFonts w:ascii="Arial" w:hAnsi="Arial" w:cs="Arial"/>
              </w:rPr>
              <w:t>нкете</w:t>
            </w:r>
            <w:r w:rsidR="001110D2" w:rsidRPr="00303001">
              <w:rPr>
                <w:rFonts w:ascii="Arial" w:hAnsi="Arial" w:cs="Arial"/>
              </w:rPr>
              <w:t xml:space="preserve"> Клиента</w:t>
            </w:r>
            <w:r w:rsidRPr="00303001">
              <w:rPr>
                <w:rFonts w:ascii="Arial" w:hAnsi="Arial" w:cs="Arial"/>
              </w:rPr>
              <w:t xml:space="preserve"> </w:t>
            </w:r>
            <w:proofErr w:type="spellStart"/>
            <w:r w:rsidRPr="00303001">
              <w:rPr>
                <w:rFonts w:ascii="Arial" w:hAnsi="Arial" w:cs="Arial"/>
              </w:rPr>
              <w:t>бенефициарными</w:t>
            </w:r>
            <w:proofErr w:type="spellEnd"/>
            <w:r w:rsidRPr="0030300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303001">
              <w:rPr>
                <w:rFonts w:ascii="Arial" w:hAnsi="Arial" w:cs="Arial"/>
              </w:rPr>
              <w:t xml:space="preserve">которые прямо или косвенно </w:t>
            </w:r>
            <w:r w:rsidRPr="0030300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303001">
              <w:rPr>
                <w:rFonts w:ascii="Arial" w:hAnsi="Arial" w:cs="Arial"/>
              </w:rPr>
              <w:t>владеют (</w:t>
            </w:r>
            <w:r w:rsidRPr="0030300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 w:rsidRPr="00303001">
              <w:rPr>
                <w:rFonts w:ascii="Arial" w:hAnsi="Arial" w:cs="Arial"/>
                <w:color w:val="000000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303001">
              <w:rPr>
                <w:rFonts w:ascii="Arial" w:hAnsi="Arial" w:cs="Arial"/>
                <w:color w:val="000000"/>
              </w:rPr>
              <w:t xml:space="preserve">. 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 xml:space="preserve">Не предоставляются сведения о </w:t>
            </w:r>
            <w:proofErr w:type="spellStart"/>
            <w:r w:rsidRPr="00303001">
              <w:rPr>
                <w:rFonts w:ascii="Arial" w:hAnsi="Arial" w:cs="Arial"/>
                <w:color w:val="000000"/>
              </w:rPr>
              <w:t>бенефициарном</w:t>
            </w:r>
            <w:proofErr w:type="spellEnd"/>
            <w:r w:rsidRPr="00303001">
              <w:rPr>
                <w:rFonts w:ascii="Arial" w:hAnsi="Arial" w:cs="Arial"/>
                <w:color w:val="000000"/>
              </w:rPr>
              <w:t xml:space="preserve"> владельце: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0" w:history="1">
              <w:r w:rsidRPr="0030300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30300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Pr="00303001" w:rsidRDefault="00E654A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757A96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Учредительные документы</w:t>
            </w:r>
            <w:r w:rsidRPr="005348E2">
              <w:rPr>
                <w:rFonts w:ascii="Arial" w:hAnsi="Arial" w:cs="Arial"/>
                <w:sz w:val="20"/>
              </w:rPr>
              <w:t xml:space="preserve"> 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 нерезидента)</w:t>
            </w:r>
          </w:p>
        </w:tc>
        <w:tc>
          <w:tcPr>
            <w:tcW w:w="4394" w:type="dxa"/>
          </w:tcPr>
          <w:p w:rsidR="00051D51" w:rsidRPr="00303001" w:rsidRDefault="00DF05EA" w:rsidP="00292965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>нотариально</w:t>
            </w:r>
            <w:r w:rsidR="00051D51" w:rsidRPr="00303001">
              <w:rPr>
                <w:rFonts w:ascii="Arial" w:hAnsi="Arial" w:cs="Arial"/>
              </w:rPr>
              <w:t xml:space="preserve"> заверенн</w:t>
            </w:r>
            <w:r w:rsidR="003D62ED" w:rsidRPr="00303001">
              <w:rPr>
                <w:rFonts w:ascii="Arial" w:hAnsi="Arial" w:cs="Arial"/>
              </w:rPr>
              <w:t>ая</w:t>
            </w:r>
            <w:r w:rsidR="00051D51" w:rsidRPr="00303001">
              <w:rPr>
                <w:rFonts w:ascii="Arial" w:hAnsi="Arial" w:cs="Arial"/>
              </w:rPr>
              <w:t xml:space="preserve"> копи</w:t>
            </w:r>
            <w:r w:rsidR="003D62ED" w:rsidRPr="00303001">
              <w:rPr>
                <w:rFonts w:ascii="Arial" w:hAnsi="Arial" w:cs="Arial"/>
              </w:rPr>
              <w:t>я</w:t>
            </w:r>
            <w:r w:rsidRPr="00303001"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303001">
              <w:rPr>
                <w:rFonts w:ascii="Arial" w:hAnsi="Arial" w:cs="Arial"/>
              </w:rPr>
              <w:t xml:space="preserve">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в налоговом органе на территории Российской Федерации  нерезидента, либо копию документа, выдаваемого налоговым органом в случаях, предусмотренных законодательством Российской Федерации.  </w:t>
            </w:r>
          </w:p>
        </w:tc>
        <w:tc>
          <w:tcPr>
            <w:tcW w:w="4394" w:type="dxa"/>
          </w:tcPr>
          <w:p w:rsidR="002A49C8" w:rsidRPr="00303001" w:rsidRDefault="00685B12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 w:rsidRPr="00303001">
              <w:rPr>
                <w:rFonts w:ascii="Arial" w:hAnsi="Arial" w:cs="Arial"/>
                <w:sz w:val="20"/>
              </w:rPr>
              <w:t>юридического лица</w:t>
            </w:r>
            <w:r w:rsidR="00261501" w:rsidRPr="003030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иностранной организации в налоговом органе  </w:t>
            </w:r>
            <w:r w:rsidRPr="005348E2">
              <w:rPr>
                <w:rFonts w:ascii="Arial" w:hAnsi="Arial" w:cs="Arial"/>
                <w:sz w:val="20"/>
              </w:rPr>
              <w:lastRenderedPageBreak/>
              <w:t xml:space="preserve">или иной </w:t>
            </w:r>
            <w:proofErr w:type="spellStart"/>
            <w:proofErr w:type="gramStart"/>
            <w:r w:rsidRPr="005348E2">
              <w:rPr>
                <w:rFonts w:ascii="Arial" w:hAnsi="Arial" w:cs="Arial"/>
                <w:sz w:val="20"/>
              </w:rPr>
              <w:t>доку-мент</w:t>
            </w:r>
            <w:proofErr w:type="spellEnd"/>
            <w:proofErr w:type="gramEnd"/>
            <w:r w:rsidRPr="005348E2">
              <w:rPr>
                <w:rFonts w:ascii="Arial" w:hAnsi="Arial" w:cs="Arial"/>
                <w:sz w:val="20"/>
              </w:rPr>
              <w:t xml:space="preserve">, выданный налоговым органом в соответствии с законодательством страны  регистрации </w:t>
            </w:r>
            <w:proofErr w:type="spellStart"/>
            <w:r w:rsidRPr="005348E2">
              <w:rPr>
                <w:rFonts w:ascii="Arial" w:hAnsi="Arial" w:cs="Arial"/>
                <w:sz w:val="20"/>
              </w:rPr>
              <w:t>нерезиден-та</w:t>
            </w:r>
            <w:proofErr w:type="spellEnd"/>
            <w:r w:rsidRPr="005348E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lastRenderedPageBreak/>
              <w:t xml:space="preserve">нотариально заверенная копия или копия, заверенная уполномоченным сотрудником </w:t>
            </w:r>
            <w:r w:rsidRPr="00303001">
              <w:rPr>
                <w:rFonts w:ascii="Arial" w:hAnsi="Arial" w:cs="Arial"/>
              </w:rPr>
              <w:lastRenderedPageBreak/>
              <w:t xml:space="preserve">Банка (при наличии оригинала)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rPr>
          <w:trHeight w:val="2378"/>
        </w:trPr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8E0AA9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государственную регистрацию</w:t>
            </w:r>
            <w:r w:rsidR="00DC1F40" w:rsidRPr="00303001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: выписка из торгового реестра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-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 w:rsidRPr="00303001">
              <w:rPr>
                <w:rFonts w:ascii="Arial" w:hAnsi="Arial" w:cs="Arial"/>
                <w:sz w:val="20"/>
              </w:rPr>
              <w:t xml:space="preserve">данного </w:t>
            </w:r>
            <w:r w:rsidR="00DC1F40" w:rsidRPr="00303001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 w:rsidRPr="00303001">
              <w:rPr>
                <w:rFonts w:ascii="Arial" w:hAnsi="Arial" w:cs="Arial"/>
                <w:sz w:val="20"/>
              </w:rPr>
              <w:t>лица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900076" w:rsidRPr="00303001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–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="00F2589D" w:rsidRPr="0030300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Pr="00303001" w:rsidRDefault="00FC232D" w:rsidP="00292965">
            <w:pPr>
              <w:pStyle w:val="af9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9353F4" w:rsidTr="00303001">
        <w:tc>
          <w:tcPr>
            <w:tcW w:w="533" w:type="dxa"/>
          </w:tcPr>
          <w:p w:rsidR="009353F4" w:rsidRPr="00303001" w:rsidRDefault="009353F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proofErr w:type="gramStart"/>
            <w:r w:rsidRPr="005348E2">
              <w:rPr>
                <w:rFonts w:ascii="Arial" w:hAnsi="Arial" w:cs="Arial"/>
                <w:sz w:val="20"/>
              </w:rPr>
              <w:t>Легализованную в посольстве (консульстве) Российской Федерации за</w:t>
            </w:r>
            <w:r w:rsidR="006B137C">
              <w:rPr>
                <w:rFonts w:ascii="Arial" w:hAnsi="Arial" w:cs="Arial"/>
                <w:sz w:val="20"/>
              </w:rPr>
              <w:t xml:space="preserve"> границей или в посольстве (кон</w:t>
            </w:r>
            <w:r w:rsidRPr="005348E2">
              <w:rPr>
                <w:rFonts w:ascii="Arial" w:hAnsi="Arial" w:cs="Arial"/>
                <w:sz w:val="20"/>
              </w:rPr>
              <w:t>сульстве) иностранного государства в Российской Федерации копи</w:t>
            </w:r>
            <w:r w:rsidR="006B137C">
              <w:rPr>
                <w:rFonts w:ascii="Arial" w:hAnsi="Arial" w:cs="Arial"/>
                <w:sz w:val="20"/>
              </w:rPr>
              <w:t>ю разрешения Национального (Цен</w:t>
            </w:r>
            <w:r w:rsidRPr="005348E2">
              <w:rPr>
                <w:rFonts w:ascii="Arial" w:hAnsi="Arial" w:cs="Arial"/>
                <w:sz w:val="20"/>
              </w:rPr>
              <w:t>трального) банка иностранного государства на открытие счета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</w:t>
            </w:r>
            <w:r w:rsidR="006B137C">
              <w:rPr>
                <w:rFonts w:ascii="Arial" w:hAnsi="Arial" w:cs="Arial"/>
                <w:sz w:val="20"/>
              </w:rPr>
              <w:t>го государства, засвидетельство</w:t>
            </w:r>
            <w:r w:rsidRPr="005348E2">
              <w:rPr>
                <w:rFonts w:ascii="Arial" w:hAnsi="Arial" w:cs="Arial"/>
                <w:sz w:val="20"/>
              </w:rPr>
              <w:t>ванную либо нотариально, либо уполномоченным сотрудником Банка</w:t>
            </w:r>
            <w:proofErr w:type="gramEnd"/>
            <w:r w:rsidRPr="005348E2">
              <w:rPr>
                <w:rFonts w:ascii="Arial" w:hAnsi="Arial" w:cs="Arial"/>
                <w:sz w:val="20"/>
              </w:rPr>
              <w:t xml:space="preserve"> при предъявлении подлинника.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9353F4" w:rsidRPr="00303001" w:rsidRDefault="009353F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303001" w:rsidRDefault="003F2BEC" w:rsidP="00D373FA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D373FA"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proofErr w:type="gramStart"/>
            <w:r w:rsidRPr="00303001">
              <w:rPr>
                <w:rFonts w:ascii="Arial" w:hAnsi="Arial" w:cs="Arial"/>
                <w:sz w:val="20"/>
              </w:rPr>
              <w:t>Документ, удостоверяющий личность</w:t>
            </w:r>
            <w:r w:rsidR="00327A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27A48" w:rsidRPr="00327A4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327A48" w:rsidRPr="00327A48">
              <w:rPr>
                <w:rFonts w:ascii="Arial" w:hAnsi="Arial" w:cs="Arial"/>
                <w:sz w:val="20"/>
              </w:rPr>
              <w:t xml:space="preserve"> владельца,</w:t>
            </w:r>
            <w:r w:rsidR="00327A48">
              <w:rPr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 xml:space="preserve"> лица (лиц), наделённого (наделённых) полномочиями единоличного исполнительного органа юридического лица -  нерезидента</w:t>
            </w:r>
            <w:r w:rsidR="007D184E" w:rsidRPr="00303001">
              <w:rPr>
                <w:rFonts w:ascii="Arial" w:hAnsi="Arial" w:cs="Arial"/>
                <w:sz w:val="20"/>
              </w:rPr>
              <w:t xml:space="preserve"> (</w:t>
            </w:r>
            <w:r w:rsidR="0094411B" w:rsidRPr="00303001">
              <w:rPr>
                <w:rFonts w:ascii="Arial" w:hAnsi="Arial" w:cs="Arial"/>
                <w:sz w:val="20"/>
              </w:rPr>
              <w:t>предоставляется только в случае включения данного лица/лиц  в карточку с образцами подписей и оттиска печати</w:t>
            </w:r>
            <w:r w:rsidR="00E7729E"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В случае если указанными лицами являются иностранные граждане или лица без гражданства, то указанные </w:t>
            </w:r>
            <w:bookmarkStart w:id="0" w:name="_GoBack"/>
            <w:bookmarkEnd w:id="0"/>
            <w:r w:rsidRPr="00303001">
              <w:rPr>
                <w:rFonts w:ascii="Arial" w:hAnsi="Arial" w:cs="Arial"/>
                <w:sz w:val="20"/>
              </w:rPr>
              <w:t>лица</w:t>
            </w:r>
            <w:r w:rsidR="00327A48">
              <w:rPr>
                <w:rFonts w:ascii="Arial" w:hAnsi="Arial" w:cs="Arial"/>
                <w:sz w:val="20"/>
              </w:rPr>
              <w:t xml:space="preserve">, за исключением </w:t>
            </w:r>
            <w:proofErr w:type="spellStart"/>
            <w:r w:rsidR="00327A48" w:rsidRPr="00327A48">
              <w:rPr>
                <w:rFonts w:ascii="Arial" w:hAnsi="Arial" w:cs="Arial"/>
                <w:sz w:val="20"/>
              </w:rPr>
              <w:lastRenderedPageBreak/>
              <w:t>бенефициарного</w:t>
            </w:r>
            <w:proofErr w:type="spellEnd"/>
            <w:r w:rsidR="00327A48" w:rsidRPr="00327A48">
              <w:rPr>
                <w:rFonts w:ascii="Arial" w:hAnsi="Arial" w:cs="Arial"/>
                <w:sz w:val="20"/>
              </w:rPr>
              <w:t xml:space="preserve"> владельца,</w:t>
            </w:r>
            <w:r w:rsidRPr="00303001">
              <w:rPr>
                <w:rFonts w:ascii="Arial" w:hAnsi="Arial" w:cs="Arial"/>
                <w:sz w:val="20"/>
              </w:rPr>
              <w:t xml:space="preserve"> дополнительно представляет Банку</w:t>
            </w:r>
            <w:r w:rsidRPr="00303001" w:rsidDel="0039573E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 w:rsidRPr="00303001">
              <w:rPr>
                <w:rFonts w:ascii="Arial" w:hAnsi="Arial" w:cs="Arial"/>
              </w:rPr>
              <w:t>гражданства,</w:t>
            </w:r>
            <w:r w:rsidRPr="00303001"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FA4226" w:rsidP="00303001">
            <w:pPr>
              <w:pStyle w:val="af6"/>
              <w:spacing w:before="100"/>
              <w:ind w:left="0"/>
              <w:rPr>
                <w:rFonts w:ascii="Arial" w:hAnsi="Arial" w:cs="Arial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Карточка с образцами подписей и оттиска печати - 1 экз. </w:t>
            </w:r>
            <w:r w:rsidR="003F2BEC" w:rsidRPr="00303001">
              <w:rPr>
                <w:rFonts w:ascii="Arial" w:hAnsi="Arial" w:cs="Arial"/>
                <w:sz w:val="20"/>
              </w:rPr>
              <w:t>В целях заполнения карточки с образцами подписей и оттиска печати юридического лица-нерезидента в поле «Банк» должно быть указано полное наименование Банка – Публичное акционерное общество «Бест Эффортс Банк».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карточке с образцами подписей и оттиска печати юридического лица-нерезидента  может быть указана одна и более собственноручных подписей лиц, уполномоченных юридическим лицом-нерезидентом  на распоряжение денежными средствами по Счету и наделённых правом подписи.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Если в карточке  указаны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две и более собственноручных подписей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форме, установленной в Приложении № 16 к Регламенту. Банк принимает к исполнению распоряжения Клиента в соответствии с указанным заявлением.</w:t>
            </w:r>
          </w:p>
        </w:tc>
        <w:tc>
          <w:tcPr>
            <w:tcW w:w="4394" w:type="dxa"/>
          </w:tcPr>
          <w:p w:rsidR="003F2BEC" w:rsidRPr="00303001" w:rsidRDefault="00C540FA" w:rsidP="00303001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E300B7" w:rsidRPr="00303001">
              <w:rPr>
                <w:rFonts w:ascii="Arial" w:hAnsi="Arial" w:cs="Arial"/>
                <w:sz w:val="20"/>
              </w:rPr>
              <w:t>ригинал</w:t>
            </w:r>
            <w:r w:rsidR="00CD613C" w:rsidRPr="00303001">
              <w:rPr>
                <w:rFonts w:ascii="Arial" w:hAnsi="Arial" w:cs="Arial"/>
                <w:sz w:val="20"/>
              </w:rPr>
              <w:t xml:space="preserve">, при условии, что </w:t>
            </w:r>
            <w:r w:rsidR="00EE5F83" w:rsidRPr="00303001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="00CD613C" w:rsidRPr="00303001">
              <w:rPr>
                <w:rFonts w:ascii="Arial" w:hAnsi="Arial" w:cs="Arial"/>
                <w:sz w:val="20"/>
              </w:rPr>
              <w:t xml:space="preserve"> в карточке 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 образцами подписей и оттиском печати, засвидетельствована нотариально или </w:t>
            </w:r>
            <w:r w:rsidR="00EE5F83" w:rsidRPr="00303001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="003F2BEC" w:rsidRPr="00303001">
              <w:rPr>
                <w:rFonts w:ascii="Arial" w:hAnsi="Arial" w:cs="Arial"/>
                <w:sz w:val="20"/>
              </w:rPr>
              <w:t xml:space="preserve">уполномоченным сотрудником  Банка в присутствии всех лиц, указанных в карточке, с предъявлением документов, удостоверяющих </w:t>
            </w:r>
            <w:r w:rsidR="00877DF7" w:rsidRPr="00303001">
              <w:rPr>
                <w:rFonts w:ascii="Arial" w:hAnsi="Arial" w:cs="Arial"/>
                <w:sz w:val="20"/>
              </w:rPr>
              <w:t>личност</w:t>
            </w:r>
            <w:r w:rsidR="00877DF7">
              <w:rPr>
                <w:rStyle w:val="af8"/>
              </w:rPr>
              <w:t>ь</w:t>
            </w:r>
            <w:r w:rsidR="003F2BEC" w:rsidRPr="00303001">
              <w:rPr>
                <w:rFonts w:ascii="Arial" w:hAnsi="Arial" w:cs="Arial"/>
                <w:sz w:val="20"/>
              </w:rPr>
              <w:t xml:space="preserve"> и подтверждающих полномочия данных ли</w:t>
            </w:r>
            <w:r w:rsidR="00CD613C" w:rsidRPr="00303001">
              <w:rPr>
                <w:rFonts w:ascii="Arial" w:hAnsi="Arial" w:cs="Arial"/>
                <w:sz w:val="20"/>
              </w:rPr>
              <w:t>ц</w:t>
            </w:r>
            <w:r w:rsidR="003F2BEC" w:rsidRPr="0030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Документы, подтверждающие полномочия лиц (кроме единоличного исполнительного органа), указанных в карточке с образцами подписей и оттиска печати юридического лица-нерезидента, на распоряжение денежными средствами, находящимися на счетах, открытых в Банке.</w:t>
            </w:r>
          </w:p>
          <w:p w:rsidR="003F2BEC" w:rsidRDefault="003F2BEC" w:rsidP="00303001">
            <w:pPr>
              <w:pStyle w:val="21"/>
              <w:spacing w:after="0" w:line="240" w:lineRule="auto"/>
              <w:ind w:left="0"/>
            </w:pPr>
            <w:r w:rsidRPr="00303001">
              <w:rPr>
                <w:rFonts w:ascii="Arial" w:hAnsi="Arial" w:cs="Arial"/>
                <w:sz w:val="20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(при её наличии) и в нём обязательно указывается: должность и ФИО лица, которому  предоставляется право  подписи. </w:t>
            </w:r>
          </w:p>
        </w:tc>
        <w:tc>
          <w:tcPr>
            <w:tcW w:w="4394" w:type="dxa"/>
          </w:tcPr>
          <w:p w:rsidR="00CD613C" w:rsidRPr="00303001" w:rsidRDefault="00CD613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удостоверяющий личность лиц (кроме единоличного исполнительного органа)</w:t>
            </w:r>
            <w:r w:rsidR="003C59AF" w:rsidRPr="00303001">
              <w:rPr>
                <w:rFonts w:ascii="Arial" w:hAnsi="Arial" w:cs="Arial"/>
                <w:sz w:val="20"/>
              </w:rPr>
              <w:t>, указанных</w:t>
            </w:r>
            <w:r w:rsidRPr="00303001">
              <w:rPr>
                <w:rFonts w:ascii="Arial" w:hAnsi="Arial" w:cs="Arial"/>
                <w:sz w:val="20"/>
              </w:rPr>
              <w:t xml:space="preserve"> в карточке с образцами подписей и оттиска печати юридического лица-нерезидента</w:t>
            </w:r>
            <w:r w:rsidR="003C59AF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</w:p>
          <w:p w:rsidR="00244412" w:rsidRPr="00303001" w:rsidRDefault="0024441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В случае если указанными лицами являются </w:t>
            </w:r>
            <w:r w:rsidRPr="00303001">
              <w:rPr>
                <w:rFonts w:ascii="Arial" w:hAnsi="Arial" w:cs="Arial"/>
                <w:sz w:val="20"/>
              </w:rPr>
              <w:lastRenderedPageBreak/>
              <w:t>иностранные граждане или лица без гражданства, то указанные лица дополнительно представляет Банку</w:t>
            </w:r>
            <w:r w:rsidRPr="00303001" w:rsidDel="0039573E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244412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244412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244412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нотариально заверенная копия 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  <w:r w:rsidR="00F861B9" w:rsidRPr="00303001">
              <w:rPr>
                <w:rFonts w:ascii="Arial" w:hAnsi="Arial" w:cs="Arial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Копия  документа, подтверждающая личность иностранного гражданина или </w:t>
            </w:r>
            <w:r w:rsidRPr="00303001">
              <w:rPr>
                <w:rFonts w:ascii="Arial" w:hAnsi="Arial" w:cs="Arial"/>
                <w:sz w:val="20"/>
              </w:rPr>
              <w:lastRenderedPageBreak/>
              <w:t>лица без гражданства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303001">
              <w:rPr>
                <w:rFonts w:ascii="Arial" w:hAnsi="Arial" w:cs="Arial"/>
                <w:sz w:val="20"/>
              </w:rPr>
              <w:t>А</w:t>
            </w:r>
            <w:r w:rsidR="00120BC9" w:rsidRPr="00303001">
              <w:rPr>
                <w:rFonts w:ascii="Arial" w:hAnsi="Arial" w:cs="Arial"/>
                <w:sz w:val="20"/>
              </w:rPr>
              <w:t>нкету Клиента,</w:t>
            </w:r>
            <w:r w:rsidRPr="00303001">
              <w:rPr>
                <w:rFonts w:ascii="Arial" w:hAnsi="Arial" w:cs="Arial"/>
                <w:sz w:val="20"/>
              </w:rPr>
              <w:t xml:space="preserve"> Заявление о присоединении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рисках.</w:t>
            </w:r>
          </w:p>
        </w:tc>
        <w:tc>
          <w:tcPr>
            <w:tcW w:w="4394" w:type="dxa"/>
          </w:tcPr>
          <w:p w:rsidR="00834193" w:rsidRPr="00303001" w:rsidRDefault="0083419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оригинал,</w:t>
            </w:r>
            <w:r w:rsidR="00B92013" w:rsidRPr="00303001">
              <w:rPr>
                <w:rFonts w:ascii="Arial" w:hAnsi="Arial" w:cs="Arial"/>
                <w:sz w:val="20"/>
              </w:rPr>
              <w:t xml:space="preserve"> </w:t>
            </w:r>
            <w:r w:rsidR="00C540FA" w:rsidRPr="00303001">
              <w:rPr>
                <w:rFonts w:ascii="Arial" w:hAnsi="Arial" w:cs="Arial"/>
                <w:sz w:val="20"/>
              </w:rPr>
              <w:t>нотариально</w:t>
            </w:r>
            <w:r w:rsidR="003F2BEC" w:rsidRPr="00303001">
              <w:rPr>
                <w:rFonts w:ascii="Arial" w:hAnsi="Arial" w:cs="Arial"/>
                <w:sz w:val="20"/>
              </w:rPr>
              <w:t xml:space="preserve"> заверенная копия или</w:t>
            </w:r>
            <w:r w:rsidRPr="00303001">
              <w:rPr>
                <w:rFonts w:ascii="Arial" w:hAnsi="Arial" w:cs="Arial"/>
                <w:sz w:val="20"/>
              </w:rPr>
              <w:t xml:space="preserve">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 w:rsidRPr="00303001">
              <w:rPr>
                <w:rFonts w:ascii="Arial" w:hAnsi="Arial" w:cs="Arial"/>
                <w:sz w:val="20"/>
              </w:rPr>
              <w:t>Анкету Клиента</w:t>
            </w:r>
            <w:r w:rsidRPr="00303001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303001">
              <w:rPr>
                <w:rFonts w:ascii="Arial" w:hAnsi="Arial" w:cs="Arial"/>
                <w:sz w:val="20"/>
              </w:rPr>
              <w:t xml:space="preserve">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</w:t>
            </w:r>
            <w:r w:rsidR="00244412" w:rsidRPr="00303001">
              <w:rPr>
                <w:rFonts w:ascii="Arial" w:hAnsi="Arial" w:cs="Arial"/>
                <w:sz w:val="20"/>
              </w:rPr>
              <w:t>.</w:t>
            </w:r>
          </w:p>
          <w:p w:rsidR="00244412" w:rsidRPr="00303001" w:rsidRDefault="00032893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 один из следующих документов, подтверждающих право на пребывание (проживание) на территории Российской Федерации: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3F2BEC"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 w:rsidRPr="00303001">
              <w:rPr>
                <w:rFonts w:ascii="Arial" w:hAnsi="Arial" w:cs="Arial"/>
                <w:sz w:val="20"/>
              </w:rPr>
              <w:t>,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отсутствие печати у юридического лица - нерезидента, подписанный уполномоченным лицом юридического 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Данный документ представляется только в случае отсутствия оттиска печати  в карточке с образцами подписей и оттиска печати юридического лица-нерезидента. </w:t>
            </w:r>
          </w:p>
        </w:tc>
        <w:tc>
          <w:tcPr>
            <w:tcW w:w="4394" w:type="dxa"/>
          </w:tcPr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Pr="005348E2" w:rsidRDefault="005348E2" w:rsidP="006B137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Струк</w:t>
            </w:r>
            <w:r>
              <w:rPr>
                <w:rFonts w:ascii="Arial" w:hAnsi="Arial" w:cs="Arial"/>
                <w:sz w:val="20"/>
              </w:rPr>
              <w:t xml:space="preserve">тура собственности нерезидента </w:t>
            </w:r>
            <w:r w:rsidRPr="005348E2">
              <w:rPr>
                <w:rFonts w:ascii="Arial" w:hAnsi="Arial" w:cs="Arial"/>
                <w:sz w:val="20"/>
              </w:rPr>
              <w:t xml:space="preserve"> </w:t>
            </w:r>
            <w:r w:rsidRPr="005348E2">
              <w:rPr>
                <w:rFonts w:ascii="Arial" w:hAnsi="Arial" w:cs="Arial"/>
                <w:sz w:val="20"/>
              </w:rPr>
              <w:lastRenderedPageBreak/>
              <w:t>(раскрывается д</w:t>
            </w:r>
            <w:r w:rsidR="007A4859">
              <w:rPr>
                <w:rFonts w:ascii="Arial" w:hAnsi="Arial" w:cs="Arial"/>
                <w:sz w:val="20"/>
              </w:rPr>
              <w:t>о физических лиц, которые, в ко</w:t>
            </w:r>
            <w:r w:rsidRPr="005348E2">
              <w:rPr>
                <w:rFonts w:ascii="Arial" w:hAnsi="Arial" w:cs="Arial"/>
                <w:sz w:val="20"/>
              </w:rPr>
              <w:t>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Информацию о структуре собственности не предоставляют: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</w:t>
            </w:r>
            <w:r w:rsidRPr="005348E2">
              <w:rPr>
                <w:rFonts w:ascii="Arial" w:hAnsi="Arial" w:cs="Arial"/>
                <w:sz w:val="20"/>
              </w:rPr>
              <w:t>международные организации;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348E2">
              <w:rPr>
                <w:rFonts w:ascii="Arial" w:hAnsi="Arial" w:cs="Arial"/>
                <w:sz w:val="20"/>
              </w:rPr>
              <w:t>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F2BEC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</w:t>
            </w:r>
            <w:r w:rsidR="00292965" w:rsidRPr="00303001">
              <w:rPr>
                <w:rFonts w:ascii="Arial" w:hAnsi="Arial" w:cs="Arial"/>
                <w:sz w:val="20"/>
              </w:rPr>
              <w:t>1. Для юридическ</w:t>
            </w:r>
            <w:r w:rsidRPr="00303001">
              <w:rPr>
                <w:rFonts w:ascii="Arial" w:hAnsi="Arial" w:cs="Arial"/>
                <w:sz w:val="20"/>
              </w:rPr>
              <w:t xml:space="preserve">их </w:t>
            </w:r>
            <w:r w:rsidR="00292965" w:rsidRPr="00303001">
              <w:rPr>
                <w:rFonts w:ascii="Arial" w:hAnsi="Arial" w:cs="Arial"/>
                <w:sz w:val="20"/>
              </w:rPr>
              <w:t>лиц –</w:t>
            </w:r>
            <w:r w:rsidR="00B72BA1" w:rsidRPr="0030300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 w:rsidRPr="00303001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Pr="00A81B22" w:rsidRDefault="00F61C0F" w:rsidP="0030300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.1.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более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6B137C" w:rsidRPr="006B137C" w:rsidRDefault="006B137C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FA4226"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</w:t>
            </w:r>
            <w:r w:rsidR="007A4859">
              <w:t>а обслуживание и обновлении све</w:t>
            </w:r>
            <w:r w:rsidRPr="00FA4226">
              <w:t>дений; отчетность принимается Банком с отметкой, подтверждающей факт пр</w:t>
            </w:r>
            <w:r w:rsidR="007A4859">
              <w:t>иема указанной отчетности  нало</w:t>
            </w:r>
            <w:r w:rsidRPr="00FA4226">
              <w:t>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proofErr w:type="gramStart"/>
            <w:r w:rsidRPr="006B137C">
              <w:rPr>
                <w:rFonts w:eastAsia="Times New Roman"/>
              </w:rPr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 и обновлении сведений,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</w:t>
            </w:r>
            <w:proofErr w:type="gramEnd"/>
            <w:r w:rsidRPr="006B137C">
              <w:rPr>
                <w:rFonts w:eastAsia="Times New Roman"/>
              </w:rPr>
              <w:t xml:space="preserve"> передаче в электронном виде);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6B137C">
              <w:rPr>
                <w:rFonts w:eastAsia="Times New Roman"/>
              </w:rPr>
              <w:lastRenderedPageBreak/>
              <w:t>РФ/международным стандартам финансовой отчетности;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выписка из </w:t>
            </w:r>
            <w:proofErr w:type="spellStart"/>
            <w:r w:rsidRPr="006B137C">
              <w:rPr>
                <w:rFonts w:eastAsia="Times New Roman"/>
              </w:rPr>
              <w:t>оборотно-сальдовой</w:t>
            </w:r>
            <w:proofErr w:type="spellEnd"/>
            <w:r w:rsidRPr="006B137C">
              <w:rPr>
                <w:rFonts w:eastAsia="Times New Roman"/>
              </w:rPr>
              <w:t xml:space="preserve"> ведомости по счетам 90, 91 за три месяца, предшествующих дате предоставления в Банк документов при приеме на обслуживание;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выписка из Книги учета доходов и расходов (для ИП и физических лиц, занимающихся в установленном законодательством порядке частной практикой) за три полных месяца, предшествующих дате предоставления в Банк документов при приеме на обслуживание и обновлении сведений;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6B137C">
              <w:rPr>
                <w:rFonts w:eastAsia="Times New Roman"/>
              </w:rPr>
              <w:t>с даты оформления</w:t>
            </w:r>
            <w:proofErr w:type="gramEnd"/>
            <w:r w:rsidRPr="006B137C">
              <w:rPr>
                <w:rFonts w:eastAsia="Times New Roman"/>
              </w:rPr>
              <w:t xml:space="preserve"> справки до даты предоставления в Банк документов при приеме на обслуживание или обновлении сведений не должен превышать шесть месяцев);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6B137C">
              <w:rPr>
                <w:rFonts w:eastAsia="Times New Roman"/>
              </w:rPr>
              <w:t>Standart&amp;Poor’s</w:t>
            </w:r>
            <w:proofErr w:type="spellEnd"/>
            <w:r w:rsidRPr="006B137C">
              <w:rPr>
                <w:rFonts w:eastAsia="Times New Roman"/>
              </w:rPr>
              <w:t>», «</w:t>
            </w:r>
            <w:proofErr w:type="spellStart"/>
            <w:r w:rsidRPr="006B137C">
              <w:rPr>
                <w:rFonts w:eastAsia="Times New Roman"/>
              </w:rPr>
              <w:t>Fitch-Ratings</w:t>
            </w:r>
            <w:proofErr w:type="spellEnd"/>
            <w:r w:rsidRPr="006B137C">
              <w:rPr>
                <w:rFonts w:eastAsia="Times New Roman"/>
              </w:rPr>
              <w:t>», «</w:t>
            </w:r>
            <w:proofErr w:type="spellStart"/>
            <w:r w:rsidRPr="006B137C">
              <w:rPr>
                <w:rFonts w:eastAsia="Times New Roman"/>
              </w:rPr>
              <w:t>Moody’s</w:t>
            </w:r>
            <w:proofErr w:type="spellEnd"/>
            <w:r w:rsidRPr="006B137C">
              <w:rPr>
                <w:rFonts w:eastAsia="Times New Roman"/>
              </w:rPr>
              <w:t xml:space="preserve"> </w:t>
            </w:r>
            <w:proofErr w:type="spellStart"/>
            <w:r w:rsidRPr="006B137C">
              <w:rPr>
                <w:rFonts w:eastAsia="Times New Roman"/>
              </w:rPr>
              <w:t>Investors</w:t>
            </w:r>
            <w:proofErr w:type="spellEnd"/>
            <w:r w:rsidRPr="006B137C">
              <w:rPr>
                <w:rFonts w:eastAsia="Times New Roman"/>
              </w:rPr>
              <w:t xml:space="preserve"> Service» и других) или национальных рейтинговых агентств;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и обновлении сведений.</w:t>
            </w:r>
          </w:p>
          <w:p w:rsidR="00B72BA1" w:rsidRPr="00303001" w:rsidRDefault="00B72BA1" w:rsidP="00303001">
            <w:pPr>
              <w:pStyle w:val="af6"/>
              <w:ind w:left="176" w:hanging="176"/>
              <w:rPr>
                <w:rFonts w:ascii="Arial" w:hAnsi="Arial" w:cs="Arial"/>
                <w:sz w:val="20"/>
              </w:rPr>
            </w:pPr>
          </w:p>
          <w:p w:rsidR="00B72BA1" w:rsidRPr="00303001" w:rsidRDefault="00F61C0F" w:rsidP="0030300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менее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</w:t>
            </w:r>
            <w:r w:rsidRPr="007A4859">
              <w:rPr>
                <w:rFonts w:eastAsia="Times New Roman"/>
              </w:rPr>
              <w:lastRenderedPageBreak/>
              <w:t>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выписка из </w:t>
            </w:r>
            <w:proofErr w:type="spellStart"/>
            <w:r w:rsidRPr="007A4859">
              <w:rPr>
                <w:rFonts w:eastAsia="Times New Roman"/>
              </w:rPr>
              <w:t>оборотно-сальдовой</w:t>
            </w:r>
            <w:proofErr w:type="spellEnd"/>
            <w:r w:rsidRPr="007A4859">
              <w:rPr>
                <w:rFonts w:eastAsia="Times New Roman"/>
              </w:rPr>
              <w:t xml:space="preserve"> ведомости по счетам 90, 91 за период с даты государственной регистрации, но не менее</w:t>
            </w:r>
            <w:proofErr w:type="gramStart"/>
            <w:r w:rsidRPr="007A4859">
              <w:rPr>
                <w:rFonts w:eastAsia="Times New Roman"/>
              </w:rPr>
              <w:t>,</w:t>
            </w:r>
            <w:proofErr w:type="gramEnd"/>
            <w:r w:rsidRPr="007A4859">
              <w:rPr>
                <w:rFonts w:eastAsia="Times New Roman"/>
              </w:rPr>
              <w:t xml:space="preserve"> чем за полный месяц;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прогнозные финансовые показатели на 6 месяцев, следующих за датой оформления заявления о приеме на обслуживание;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выписка из Книги учета доходов и расходов (для ИП и физических лиц, занимающихся в установленном законодательством порядке частной практикой) за период с даты государственной регистрации, но не менее</w:t>
            </w:r>
            <w:proofErr w:type="gramStart"/>
            <w:r w:rsidRPr="007A4859">
              <w:rPr>
                <w:rFonts w:eastAsia="Times New Roman"/>
              </w:rPr>
              <w:t>,</w:t>
            </w:r>
            <w:proofErr w:type="gramEnd"/>
            <w:r w:rsidRPr="007A4859">
              <w:rPr>
                <w:rFonts w:eastAsia="Times New Roman"/>
              </w:rPr>
              <w:t xml:space="preserve"> чем за полный месяц;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(далее - Справка об исполнении Клиентом обязанности по уплате налогов);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обслуживание,</w:t>
            </w:r>
          </w:p>
          <w:p w:rsidR="00B72BA1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налоговый сертификат или  заявление </w:t>
            </w:r>
            <w:proofErr w:type="gramStart"/>
            <w:r w:rsidRPr="007A4859">
              <w:rPr>
                <w:rFonts w:eastAsia="Times New Roman"/>
              </w:rPr>
              <w:t>для удержания налога на  доходы от источников в Российской Федерации  по форме</w:t>
            </w:r>
            <w:proofErr w:type="gramEnd"/>
            <w:r w:rsidRPr="007A4859">
              <w:rPr>
                <w:rFonts w:eastAsia="Times New Roman"/>
              </w:rPr>
              <w:t>, установленной Банком.</w:t>
            </w:r>
          </w:p>
          <w:p w:rsidR="00B72BA1" w:rsidRPr="00303001" w:rsidRDefault="00B72BA1" w:rsidP="0030300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Pr="00303001" w:rsidRDefault="00F61C0F" w:rsidP="0032560B">
            <w:pPr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 w:rsidRPr="00303001">
              <w:rPr>
                <w:rFonts w:ascii="Arial" w:hAnsi="Arial" w:cs="Arial"/>
                <w:sz w:val="20"/>
              </w:rPr>
              <w:t>их</w:t>
            </w:r>
            <w:r w:rsidR="00B72BA1" w:rsidRPr="0030300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 w:rsidRPr="00303001">
              <w:rPr>
                <w:rFonts w:ascii="Arial" w:hAnsi="Arial" w:cs="Arial"/>
                <w:sz w:val="20"/>
              </w:rPr>
              <w:t>:</w:t>
            </w:r>
          </w:p>
          <w:p w:rsidR="0032560B" w:rsidRPr="00303001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FA4226" w:rsidRPr="00FA4226" w:rsidRDefault="0032560B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аудиторское заключение на годовой отчет </w:t>
            </w:r>
            <w:r w:rsidR="00FA4226" w:rsidRPr="00FA4226"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-данные о рейтинге   нерезидента, размещенные в сети «Интернет» на сайтах международных </w:t>
            </w:r>
            <w:proofErr w:type="spellStart"/>
            <w:proofErr w:type="gramStart"/>
            <w:r w:rsidRPr="00FA4226">
              <w:rPr>
                <w:rFonts w:ascii="Arial" w:hAnsi="Arial" w:cs="Arial"/>
                <w:sz w:val="20"/>
              </w:rPr>
              <w:t>рейтинго-вых</w:t>
            </w:r>
            <w:proofErr w:type="spellEnd"/>
            <w:proofErr w:type="gramEnd"/>
            <w:r w:rsidRPr="00FA4226">
              <w:rPr>
                <w:rFonts w:ascii="Arial" w:hAnsi="Arial" w:cs="Arial"/>
                <w:sz w:val="20"/>
              </w:rPr>
              <w:t xml:space="preserve"> агентств («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Standart&amp;Poor’s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>», «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Fitch-Ratings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>», «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Moody’s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Investors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Ser-vice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» и других) или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националь-ных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 рейтинговых агентств;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-годовая (квартальная) бухгалтерская отчетность либо налоговая декларация по любому налогу за </w:t>
            </w:r>
            <w:proofErr w:type="spellStart"/>
            <w:proofErr w:type="gramStart"/>
            <w:r w:rsidRPr="00FA4226">
              <w:rPr>
                <w:rFonts w:ascii="Arial" w:hAnsi="Arial" w:cs="Arial"/>
                <w:sz w:val="20"/>
              </w:rPr>
              <w:t>по-следний</w:t>
            </w:r>
            <w:proofErr w:type="spellEnd"/>
            <w:proofErr w:type="gramEnd"/>
            <w:r w:rsidRPr="00FA4226">
              <w:rPr>
                <w:rFonts w:ascii="Arial" w:hAnsi="Arial" w:cs="Arial"/>
                <w:sz w:val="20"/>
              </w:rPr>
              <w:t xml:space="preserve"> отчетный период в соответствии с требованиями законодательства страны регистрации 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нере-зидента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>;</w:t>
            </w:r>
          </w:p>
          <w:p w:rsidR="0032560B" w:rsidRPr="00303001" w:rsidRDefault="00FA4226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A4226">
              <w:rPr>
                <w:rFonts w:ascii="Arial" w:hAnsi="Arial" w:cs="Arial"/>
                <w:sz w:val="20"/>
              </w:rPr>
              <w:lastRenderedPageBreak/>
              <w:t>- сведения об отсутствии в отношении  нерезидента  производства по де</w:t>
            </w:r>
            <w:r w:rsidR="007A4859">
              <w:rPr>
                <w:rFonts w:ascii="Arial" w:hAnsi="Arial" w:cs="Arial"/>
                <w:sz w:val="20"/>
              </w:rPr>
              <w:t>лу о несостоятельности (банкрот</w:t>
            </w:r>
            <w:r w:rsidRPr="00FA4226">
              <w:rPr>
                <w:rFonts w:ascii="Arial" w:hAnsi="Arial" w:cs="Arial"/>
                <w:sz w:val="20"/>
              </w:rPr>
              <w:t>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 (данные сведения предоставляются в Банк в письменном виде в случае отсутствия у  нерезидента  обязанности по предоставлению по месту его регистрации или деятельности бухгалтерской или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налоговой отчетности и данных о его рейтинге).</w:t>
            </w:r>
          </w:p>
          <w:p w:rsidR="00EA4C02" w:rsidRPr="00303001" w:rsidRDefault="0032560B" w:rsidP="00303001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68"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предоставляются документы</w:t>
            </w:r>
            <w:proofErr w:type="gramEnd"/>
            <w:r w:rsidRPr="00303001">
              <w:rPr>
                <w:rFonts w:ascii="Arial" w:hAnsi="Arial" w:cs="Arial"/>
                <w:sz w:val="20"/>
              </w:rPr>
              <w:t>/сведения, указанные в одном или нескольких пунктах на выбор):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Аудиторское заключение за последний финансовый год;</w:t>
            </w:r>
          </w:p>
          <w:p w:rsidR="00B72BA1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proofErr w:type="spellStart"/>
            <w:r w:rsidRPr="00303001">
              <w:rPr>
                <w:lang w:val="en-US"/>
              </w:rPr>
              <w:t>Standart</w:t>
            </w:r>
            <w:proofErr w:type="spellEnd"/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агентств.</w:t>
            </w:r>
          </w:p>
          <w:p w:rsidR="00292965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60A2A" w:rsidRPr="00303001" w:rsidRDefault="00A31052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,</w:t>
            </w:r>
          </w:p>
          <w:p w:rsidR="003F2BEC" w:rsidRPr="00303001" w:rsidRDefault="007D184E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303001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</w:t>
            </w:r>
            <w:proofErr w:type="spellStart"/>
            <w:r w:rsidRPr="00303001">
              <w:rPr>
                <w:rFonts w:ascii="Arial" w:hAnsi="Arial" w:cs="Arial"/>
                <w:bCs/>
                <w:sz w:val="20"/>
              </w:rPr>
              <w:t>оборотно-сальдовой</w:t>
            </w:r>
            <w:proofErr w:type="spellEnd"/>
            <w:r w:rsidRPr="00303001">
              <w:rPr>
                <w:rFonts w:ascii="Arial" w:hAnsi="Arial" w:cs="Arial"/>
                <w:bCs/>
                <w:sz w:val="20"/>
              </w:rPr>
              <w:t xml:space="preserve"> ведомости по счетам 90, 91 заверяется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>подписью уполномоченного лица юридического лица – нерезидента и оттиском печати (при её наличии)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, Справка об исполнении 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>юридическим лицом - нерезидентом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обязанности по уплате налогов предоставляется в оригинале, сведения об уровне рейтинга, а также </w:t>
            </w:r>
            <w:r w:rsidRPr="00303001">
              <w:rPr>
                <w:rFonts w:ascii="Arial" w:hAnsi="Arial" w:cs="Arial"/>
                <w:sz w:val="20"/>
              </w:rPr>
              <w:t xml:space="preserve">сведения об отсутствии в отношении </w:t>
            </w:r>
            <w:r w:rsidR="001110D2" w:rsidRPr="00303001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производства по делу о несостоятельности (банкротстве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303001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указываются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юридическим 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>лиц</w:t>
            </w:r>
            <w:r w:rsidRPr="00303001">
              <w:rPr>
                <w:rFonts w:ascii="Arial" w:hAnsi="Arial" w:cs="Arial"/>
                <w:bCs/>
                <w:sz w:val="20"/>
              </w:rPr>
              <w:t>ом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 xml:space="preserve"> - нерезидентом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при заполнении Анкеты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 xml:space="preserve"> Клиента</w:t>
            </w:r>
            <w:r w:rsidRPr="00303001">
              <w:rPr>
                <w:rFonts w:ascii="Arial" w:hAnsi="Arial" w:cs="Arial"/>
                <w:bCs/>
                <w:sz w:val="20"/>
              </w:rPr>
              <w:t>, либо в письме произвольной формы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 w:rsidRPr="00303001">
              <w:rPr>
                <w:rFonts w:ascii="Arial" w:hAnsi="Arial" w:cs="Arial"/>
                <w:sz w:val="20"/>
              </w:rPr>
              <w:t xml:space="preserve">юридического лица-нерезидента (отзывы в произвольной </w:t>
            </w:r>
            <w:r w:rsidR="007C38B6" w:rsidRPr="00303001">
              <w:rPr>
                <w:rFonts w:ascii="Arial" w:hAnsi="Arial" w:cs="Arial"/>
                <w:sz w:val="20"/>
              </w:rPr>
              <w:t xml:space="preserve">письменной </w:t>
            </w:r>
            <w:r w:rsidR="00660A2A" w:rsidRPr="00303001">
              <w:rPr>
                <w:rFonts w:ascii="Arial" w:hAnsi="Arial" w:cs="Arial"/>
                <w:sz w:val="20"/>
              </w:rPr>
              <w:t>форме)</w:t>
            </w:r>
            <w:r w:rsidR="003A3250" w:rsidRPr="00303001">
              <w:rPr>
                <w:rFonts w:ascii="Arial" w:hAnsi="Arial" w:cs="Arial"/>
                <w:sz w:val="28"/>
                <w:szCs w:val="28"/>
              </w:rPr>
              <w:t>*</w:t>
            </w:r>
            <w:r w:rsidR="00FA1098"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 юридическом лице-нерезиденте других клиентов Банка, имеющих с ним деловые отношения, или</w:t>
            </w:r>
          </w:p>
          <w:p w:rsidR="00FA4226" w:rsidRDefault="003F2BEC" w:rsidP="00FA4226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  юридическое лицо-нерезидент ранее находил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ось либо </w:t>
            </w:r>
            <w:proofErr w:type="gramStart"/>
            <w:r w:rsidR="00660A2A" w:rsidRPr="00303001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30300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 w:rsidRPr="00303001">
              <w:rPr>
                <w:rFonts w:ascii="Arial" w:hAnsi="Arial" w:cs="Arial"/>
                <w:bCs/>
                <w:sz w:val="20"/>
              </w:rPr>
              <w:t>.</w:t>
            </w:r>
          </w:p>
          <w:p w:rsidR="00E1531A" w:rsidRDefault="00E1531A">
            <w:pPr>
              <w:pStyle w:val="af6"/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</w:p>
          <w:p w:rsidR="00E1531A" w:rsidRDefault="00FA4226" w:rsidP="00A81B22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Период с даты составления отзыва до даты его пред</w:t>
            </w:r>
            <w:r w:rsidR="007A4859">
              <w:rPr>
                <w:rFonts w:ascii="Arial" w:hAnsi="Arial" w:cs="Arial"/>
                <w:sz w:val="20"/>
              </w:rPr>
              <w:t>оставления в Банк не должен пре</w:t>
            </w:r>
            <w:r w:rsidRPr="00FA4226">
              <w:rPr>
                <w:rFonts w:ascii="Arial" w:hAnsi="Arial" w:cs="Arial"/>
                <w:sz w:val="20"/>
              </w:rPr>
              <w:t>вышать трех месяцев.</w:t>
            </w:r>
          </w:p>
          <w:p w:rsidR="00F44804" w:rsidRPr="00303001" w:rsidRDefault="003A3250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="002E5235" w:rsidRPr="00303001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потенциальных) и/или от </w:t>
            </w:r>
            <w:r w:rsidR="002E5235" w:rsidRPr="0030300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бенефициарных</w:t>
            </w:r>
            <w:proofErr w:type="spellEnd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</w:tc>
        <w:tc>
          <w:tcPr>
            <w:tcW w:w="4394" w:type="dxa"/>
          </w:tcPr>
          <w:p w:rsidR="003F2BEC" w:rsidRPr="00303001" w:rsidRDefault="00F62F5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Оригинал</w:t>
            </w:r>
            <w:r w:rsidR="00FA1098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или </w:t>
            </w:r>
            <w:r w:rsidR="00335CCD"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511DB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511DBD">
              <w:rPr>
                <w:rFonts w:ascii="Arial" w:hAnsi="Arial" w:cs="Arial"/>
                <w:sz w:val="20"/>
              </w:rPr>
              <w:t>Опросный лист юридического лица (в том числе организации финансового рынка)</w:t>
            </w:r>
            <w:r w:rsidR="009C078E" w:rsidRPr="00303001">
              <w:rPr>
                <w:rFonts w:ascii="Arial" w:hAnsi="Arial" w:cs="Arial"/>
                <w:sz w:val="20"/>
              </w:rPr>
              <w:t>, по форме, установленной в Приложении №1 к Критериям отнесения Клиентов ПАО «</w:t>
            </w:r>
            <w:proofErr w:type="spellStart"/>
            <w:r w:rsidR="009C078E" w:rsidRPr="00303001">
              <w:rPr>
                <w:rFonts w:ascii="Arial" w:hAnsi="Arial" w:cs="Arial"/>
                <w:sz w:val="20"/>
              </w:rPr>
              <w:t>Бэст</w:t>
            </w:r>
            <w:proofErr w:type="spellEnd"/>
            <w:r w:rsidR="009C078E" w:rsidRPr="00303001">
              <w:rPr>
                <w:rFonts w:ascii="Arial" w:hAnsi="Arial" w:cs="Arial"/>
                <w:sz w:val="20"/>
              </w:rPr>
              <w:t xml:space="preserve"> Эффортс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6A185B" w:rsidTr="00303001">
        <w:tc>
          <w:tcPr>
            <w:tcW w:w="533" w:type="dxa"/>
          </w:tcPr>
          <w:p w:rsidR="00F44804" w:rsidRPr="00303001" w:rsidRDefault="00F4480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6A185B" w:rsidRPr="00303001" w:rsidRDefault="006A185B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A185B" w:rsidRPr="00303001" w:rsidRDefault="006A185B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/>
        </w:rPr>
      </w:pPr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</w:t>
      </w:r>
      <w:proofErr w:type="gramStart"/>
      <w:r w:rsidR="00735C03">
        <w:rPr>
          <w:rFonts w:ascii="Arial" w:hAnsi="Arial" w:cs="Arial"/>
        </w:rPr>
        <w:t>о</w:t>
      </w:r>
      <w:r w:rsidR="009C078E">
        <w:rPr>
          <w:rFonts w:ascii="Arial" w:hAnsi="Arial" w:cs="Arial"/>
        </w:rPr>
        <w:t>-</w:t>
      </w:r>
      <w:proofErr w:type="gramEnd"/>
      <w:r w:rsidR="009C078E">
        <w:rPr>
          <w:rFonts w:ascii="Arial" w:hAnsi="Arial" w:cs="Arial"/>
        </w:rPr>
        <w:t xml:space="preserve">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>имеющее право в соответствии с личным законом осуществлять 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79"/>
        <w:gridCol w:w="4111"/>
      </w:tblGrid>
      <w:tr w:rsidR="00636B91" w:rsidRPr="00363594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Pr="0030300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Лицензия (документ), выданная </w:t>
            </w:r>
            <w:r w:rsidR="006F09A3" w:rsidRPr="00303001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 w:rsidRPr="00303001"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 подтверждающая право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6F09A3" w:rsidRPr="00303001">
              <w:rPr>
                <w:rFonts w:ascii="Arial" w:hAnsi="Arial" w:cs="Arial"/>
                <w:sz w:val="20"/>
              </w:rPr>
              <w:t>лица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- </w:t>
            </w:r>
            <w:r w:rsidR="006F09A3" w:rsidRPr="00303001">
              <w:rPr>
                <w:rFonts w:ascii="Arial" w:hAnsi="Arial" w:cs="Arial"/>
                <w:sz w:val="20"/>
              </w:rPr>
              <w:t xml:space="preserve">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осуществлять брокерскую деятельность</w:t>
            </w:r>
          </w:p>
        </w:tc>
        <w:tc>
          <w:tcPr>
            <w:tcW w:w="4111" w:type="dxa"/>
          </w:tcPr>
          <w:p w:rsidR="00636B91" w:rsidRPr="0030300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636B91" w:rsidRPr="00303001">
              <w:rPr>
                <w:rFonts w:ascii="Arial" w:hAnsi="Arial" w:cs="Arial"/>
                <w:sz w:val="20"/>
              </w:rPr>
              <w:t>ригинал</w:t>
            </w:r>
            <w:r w:rsidRPr="00303001">
              <w:rPr>
                <w:rFonts w:ascii="Arial" w:hAnsi="Arial" w:cs="Arial"/>
                <w:sz w:val="20"/>
              </w:rPr>
              <w:t>,</w:t>
            </w:r>
            <w:r w:rsidR="007F331F" w:rsidRPr="00303001">
              <w:rPr>
                <w:rFonts w:ascii="Arial" w:hAnsi="Arial" w:cs="Arial"/>
                <w:sz w:val="20"/>
              </w:rPr>
              <w:t xml:space="preserve"> или</w:t>
            </w:r>
            <w:r w:rsidRPr="00303001">
              <w:rPr>
                <w:rFonts w:ascii="Arial" w:hAnsi="Arial" w:cs="Arial"/>
                <w:sz w:val="20"/>
              </w:rPr>
              <w:t xml:space="preserve"> нотариально заверенная копия,   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79"/>
        <w:gridCol w:w="4111"/>
      </w:tblGrid>
      <w:tr w:rsidR="00A621EF" w:rsidRPr="00363594" w:rsidTr="00303001">
        <w:tc>
          <w:tcPr>
            <w:tcW w:w="568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303001">
        <w:tc>
          <w:tcPr>
            <w:tcW w:w="568" w:type="dxa"/>
          </w:tcPr>
          <w:p w:rsidR="002A199A" w:rsidRPr="00303001" w:rsidRDefault="002A199A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303001">
              <w:rPr>
                <w:rFonts w:ascii="Arial" w:hAnsi="Arial" w:cs="Arial"/>
                <w:sz w:val="20"/>
              </w:rPr>
              <w:t xml:space="preserve"> 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303001">
        <w:tc>
          <w:tcPr>
            <w:tcW w:w="568" w:type="dxa"/>
          </w:tcPr>
          <w:p w:rsidR="00F91CEB" w:rsidRPr="00303001" w:rsidRDefault="00F91CEB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</w:t>
            </w:r>
            <w:r w:rsidR="00F91CEB" w:rsidRPr="00303001">
              <w:rPr>
                <w:rFonts w:ascii="Arial" w:hAnsi="Arial" w:cs="Arial"/>
                <w:sz w:val="20"/>
              </w:rPr>
              <w:t>о</w:t>
            </w:r>
            <w:r w:rsidRPr="00303001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 w:rsidRPr="00303001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BF533F" w:rsidRPr="00303001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Pr="00303001" w:rsidRDefault="007F3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303001">
        <w:tc>
          <w:tcPr>
            <w:tcW w:w="568" w:type="dxa"/>
          </w:tcPr>
          <w:p w:rsidR="00BF533F" w:rsidRPr="00303001" w:rsidRDefault="00BF533F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 w:rsidRPr="00303001">
              <w:rPr>
                <w:rFonts w:ascii="Arial" w:hAnsi="Arial" w:cs="Arial"/>
                <w:sz w:val="20"/>
              </w:rPr>
              <w:t>опия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DA22B6" w:rsidTr="00303001">
        <w:tc>
          <w:tcPr>
            <w:tcW w:w="568" w:type="dxa"/>
          </w:tcPr>
          <w:p w:rsidR="00DA22B6" w:rsidRPr="00303001" w:rsidRDefault="00DA22B6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Pr="00303001" w:rsidRDefault="00DA22B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Pr="00303001" w:rsidRDefault="002615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292965" w:rsidRDefault="00CB1861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proofErr w:type="gramStart"/>
      <w:r w:rsidRPr="00292965">
        <w:rPr>
          <w:rFonts w:ascii="Arial" w:hAnsi="Arial" w:cs="Arial"/>
          <w:sz w:val="20"/>
        </w:rPr>
        <w:lastRenderedPageBreak/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292965">
        <w:rPr>
          <w:rFonts w:ascii="Arial" w:hAnsi="Arial" w:cs="Arial"/>
          <w:sz w:val="20"/>
        </w:rPr>
        <w:t>апостилированы</w:t>
      </w:r>
      <w:proofErr w:type="spellEnd"/>
      <w:r w:rsidRPr="00292965">
        <w:rPr>
          <w:rFonts w:ascii="Arial" w:hAnsi="Arial" w:cs="Arial"/>
          <w:sz w:val="20"/>
        </w:rPr>
        <w:t>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 w:rsidR="00156424">
        <w:rPr>
          <w:rFonts w:ascii="Arial" w:hAnsi="Arial" w:cs="Arial"/>
          <w:sz w:val="20"/>
        </w:rPr>
        <w:t>.</w:t>
      </w:r>
      <w:proofErr w:type="gramEnd"/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11"/>
      <w:footerReference w:type="even" r:id="rId12"/>
      <w:footerReference w:type="default" r:id="rId13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5B" w:rsidRDefault="0010075B">
      <w:r>
        <w:separator/>
      </w:r>
    </w:p>
  </w:endnote>
  <w:endnote w:type="continuationSeparator" w:id="0">
    <w:p w:rsidR="0010075B" w:rsidRDefault="0010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E1531A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E1531A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1B22">
      <w:rPr>
        <w:rStyle w:val="a8"/>
        <w:noProof/>
      </w:rPr>
      <w:t>8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5B" w:rsidRDefault="0010075B">
      <w:r>
        <w:separator/>
      </w:r>
    </w:p>
  </w:footnote>
  <w:footnote w:type="continuationSeparator" w:id="0">
    <w:p w:rsidR="0010075B" w:rsidRDefault="00100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5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2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0"/>
  </w:num>
  <w:num w:numId="4">
    <w:abstractNumId w:val="27"/>
  </w:num>
  <w:num w:numId="5">
    <w:abstractNumId w:val="31"/>
  </w:num>
  <w:num w:numId="6">
    <w:abstractNumId w:val="22"/>
  </w:num>
  <w:num w:numId="7">
    <w:abstractNumId w:val="21"/>
  </w:num>
  <w:num w:numId="8">
    <w:abstractNumId w:val="13"/>
  </w:num>
  <w:num w:numId="9">
    <w:abstractNumId w:val="16"/>
  </w:num>
  <w:num w:numId="10">
    <w:abstractNumId w:val="11"/>
  </w:num>
  <w:num w:numId="11">
    <w:abstractNumId w:val="12"/>
  </w:num>
  <w:num w:numId="12">
    <w:abstractNumId w:val="1"/>
  </w:num>
  <w:num w:numId="13">
    <w:abstractNumId w:val="26"/>
  </w:num>
  <w:num w:numId="14">
    <w:abstractNumId w:val="7"/>
  </w:num>
  <w:num w:numId="15">
    <w:abstractNumId w:val="30"/>
  </w:num>
  <w:num w:numId="16">
    <w:abstractNumId w:val="28"/>
  </w:num>
  <w:num w:numId="17">
    <w:abstractNumId w:val="19"/>
  </w:num>
  <w:num w:numId="18">
    <w:abstractNumId w:val="3"/>
  </w:num>
  <w:num w:numId="19">
    <w:abstractNumId w:val="17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5"/>
  </w:num>
  <w:num w:numId="25">
    <w:abstractNumId w:val="8"/>
  </w:num>
  <w:num w:numId="26">
    <w:abstractNumId w:val="23"/>
  </w:num>
  <w:num w:numId="27">
    <w:abstractNumId w:val="25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C3"/>
    <w:rsid w:val="00032893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0F6DC1"/>
    <w:rsid w:val="0010075B"/>
    <w:rsid w:val="0010724B"/>
    <w:rsid w:val="001110D2"/>
    <w:rsid w:val="00120BC9"/>
    <w:rsid w:val="00123998"/>
    <w:rsid w:val="001247F7"/>
    <w:rsid w:val="001369AF"/>
    <w:rsid w:val="00147274"/>
    <w:rsid w:val="00150514"/>
    <w:rsid w:val="00156424"/>
    <w:rsid w:val="001939FC"/>
    <w:rsid w:val="001A04AE"/>
    <w:rsid w:val="001A4552"/>
    <w:rsid w:val="001A46B6"/>
    <w:rsid w:val="001B2F60"/>
    <w:rsid w:val="001D2A0D"/>
    <w:rsid w:val="001E3937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75F0D"/>
    <w:rsid w:val="00276AE5"/>
    <w:rsid w:val="0029128F"/>
    <w:rsid w:val="002919EB"/>
    <w:rsid w:val="00292965"/>
    <w:rsid w:val="00294FA6"/>
    <w:rsid w:val="002A199A"/>
    <w:rsid w:val="002A49C8"/>
    <w:rsid w:val="002A74ED"/>
    <w:rsid w:val="002B3177"/>
    <w:rsid w:val="002B584D"/>
    <w:rsid w:val="002B5BE8"/>
    <w:rsid w:val="002D30C5"/>
    <w:rsid w:val="002D77AA"/>
    <w:rsid w:val="002E28DE"/>
    <w:rsid w:val="002E5235"/>
    <w:rsid w:val="002F09FF"/>
    <w:rsid w:val="002F2B6D"/>
    <w:rsid w:val="002F2D78"/>
    <w:rsid w:val="002F549B"/>
    <w:rsid w:val="002F7B82"/>
    <w:rsid w:val="00303001"/>
    <w:rsid w:val="003073FF"/>
    <w:rsid w:val="00310558"/>
    <w:rsid w:val="003232D0"/>
    <w:rsid w:val="003237C6"/>
    <w:rsid w:val="0032560B"/>
    <w:rsid w:val="00327A48"/>
    <w:rsid w:val="003308F4"/>
    <w:rsid w:val="00335CCD"/>
    <w:rsid w:val="0034051B"/>
    <w:rsid w:val="003529FE"/>
    <w:rsid w:val="00357E27"/>
    <w:rsid w:val="00367059"/>
    <w:rsid w:val="00374719"/>
    <w:rsid w:val="0038320A"/>
    <w:rsid w:val="0039573E"/>
    <w:rsid w:val="003977F3"/>
    <w:rsid w:val="003A3250"/>
    <w:rsid w:val="003B11A3"/>
    <w:rsid w:val="003B2514"/>
    <w:rsid w:val="003B2A6E"/>
    <w:rsid w:val="003B420A"/>
    <w:rsid w:val="003C59AF"/>
    <w:rsid w:val="003C6F55"/>
    <w:rsid w:val="003D62ED"/>
    <w:rsid w:val="003E2C63"/>
    <w:rsid w:val="003E66B2"/>
    <w:rsid w:val="003E7933"/>
    <w:rsid w:val="003F27DB"/>
    <w:rsid w:val="003F2BEC"/>
    <w:rsid w:val="003F2C4C"/>
    <w:rsid w:val="003F585F"/>
    <w:rsid w:val="00400524"/>
    <w:rsid w:val="00403E5F"/>
    <w:rsid w:val="00406434"/>
    <w:rsid w:val="00410B59"/>
    <w:rsid w:val="00442A44"/>
    <w:rsid w:val="00461D0E"/>
    <w:rsid w:val="00464267"/>
    <w:rsid w:val="00464848"/>
    <w:rsid w:val="0048059B"/>
    <w:rsid w:val="004851A7"/>
    <w:rsid w:val="00486963"/>
    <w:rsid w:val="00486CEA"/>
    <w:rsid w:val="004940BE"/>
    <w:rsid w:val="004B1604"/>
    <w:rsid w:val="004B6494"/>
    <w:rsid w:val="004C1131"/>
    <w:rsid w:val="004D2896"/>
    <w:rsid w:val="004E3720"/>
    <w:rsid w:val="004F13F5"/>
    <w:rsid w:val="0050149A"/>
    <w:rsid w:val="00511DBD"/>
    <w:rsid w:val="00517375"/>
    <w:rsid w:val="005233C0"/>
    <w:rsid w:val="00527DB1"/>
    <w:rsid w:val="005348E2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A27CF"/>
    <w:rsid w:val="005C1F23"/>
    <w:rsid w:val="005D13F5"/>
    <w:rsid w:val="005D56CB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85B"/>
    <w:rsid w:val="006A45F8"/>
    <w:rsid w:val="006B0BF0"/>
    <w:rsid w:val="006B137C"/>
    <w:rsid w:val="006C0004"/>
    <w:rsid w:val="006C02F1"/>
    <w:rsid w:val="006C3472"/>
    <w:rsid w:val="006C3E3B"/>
    <w:rsid w:val="006D584E"/>
    <w:rsid w:val="006F09A3"/>
    <w:rsid w:val="006F2E99"/>
    <w:rsid w:val="006F7A3B"/>
    <w:rsid w:val="0071009D"/>
    <w:rsid w:val="00711454"/>
    <w:rsid w:val="00711488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A4859"/>
    <w:rsid w:val="007C102E"/>
    <w:rsid w:val="007C38B6"/>
    <w:rsid w:val="007D0B91"/>
    <w:rsid w:val="007D184E"/>
    <w:rsid w:val="007D2135"/>
    <w:rsid w:val="007D33CD"/>
    <w:rsid w:val="007D6067"/>
    <w:rsid w:val="007D7518"/>
    <w:rsid w:val="007D7577"/>
    <w:rsid w:val="007D79A4"/>
    <w:rsid w:val="007E2C38"/>
    <w:rsid w:val="007F331F"/>
    <w:rsid w:val="007F5853"/>
    <w:rsid w:val="008072A7"/>
    <w:rsid w:val="008101DF"/>
    <w:rsid w:val="0082359C"/>
    <w:rsid w:val="00834193"/>
    <w:rsid w:val="00846371"/>
    <w:rsid w:val="0084797C"/>
    <w:rsid w:val="008516EC"/>
    <w:rsid w:val="00855384"/>
    <w:rsid w:val="00862068"/>
    <w:rsid w:val="00862E61"/>
    <w:rsid w:val="008741DA"/>
    <w:rsid w:val="00877DF7"/>
    <w:rsid w:val="00890264"/>
    <w:rsid w:val="0089198B"/>
    <w:rsid w:val="00894B80"/>
    <w:rsid w:val="00896804"/>
    <w:rsid w:val="008B582A"/>
    <w:rsid w:val="008C6865"/>
    <w:rsid w:val="008C773C"/>
    <w:rsid w:val="008D0DB1"/>
    <w:rsid w:val="008D1AFB"/>
    <w:rsid w:val="008D5DE3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31E0D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86B2D"/>
    <w:rsid w:val="00996D5F"/>
    <w:rsid w:val="009B2251"/>
    <w:rsid w:val="009C078E"/>
    <w:rsid w:val="009D7C7E"/>
    <w:rsid w:val="009E1F06"/>
    <w:rsid w:val="009E777D"/>
    <w:rsid w:val="009F2534"/>
    <w:rsid w:val="009F5ED0"/>
    <w:rsid w:val="009F64D2"/>
    <w:rsid w:val="009F6E2E"/>
    <w:rsid w:val="00A05C44"/>
    <w:rsid w:val="00A05EAF"/>
    <w:rsid w:val="00A0681B"/>
    <w:rsid w:val="00A11077"/>
    <w:rsid w:val="00A31052"/>
    <w:rsid w:val="00A312E7"/>
    <w:rsid w:val="00A34A62"/>
    <w:rsid w:val="00A508F9"/>
    <w:rsid w:val="00A5256B"/>
    <w:rsid w:val="00A532D7"/>
    <w:rsid w:val="00A570DC"/>
    <w:rsid w:val="00A60FD5"/>
    <w:rsid w:val="00A621EF"/>
    <w:rsid w:val="00A63078"/>
    <w:rsid w:val="00A63ECC"/>
    <w:rsid w:val="00A72FCA"/>
    <w:rsid w:val="00A81B22"/>
    <w:rsid w:val="00A8343E"/>
    <w:rsid w:val="00A834B5"/>
    <w:rsid w:val="00A9422F"/>
    <w:rsid w:val="00AB6079"/>
    <w:rsid w:val="00AC6BB0"/>
    <w:rsid w:val="00AD049E"/>
    <w:rsid w:val="00AD334F"/>
    <w:rsid w:val="00AD6BE5"/>
    <w:rsid w:val="00AD7BC5"/>
    <w:rsid w:val="00AE125D"/>
    <w:rsid w:val="00AE6525"/>
    <w:rsid w:val="00AF1E1E"/>
    <w:rsid w:val="00AF3F9A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E5D5C"/>
    <w:rsid w:val="00BF0008"/>
    <w:rsid w:val="00BF204B"/>
    <w:rsid w:val="00BF2605"/>
    <w:rsid w:val="00BF3345"/>
    <w:rsid w:val="00BF533F"/>
    <w:rsid w:val="00C22A19"/>
    <w:rsid w:val="00C444DB"/>
    <w:rsid w:val="00C51D74"/>
    <w:rsid w:val="00C52A42"/>
    <w:rsid w:val="00C540FA"/>
    <w:rsid w:val="00C67B6E"/>
    <w:rsid w:val="00C86863"/>
    <w:rsid w:val="00C9201D"/>
    <w:rsid w:val="00C975F5"/>
    <w:rsid w:val="00CB1861"/>
    <w:rsid w:val="00CB63B9"/>
    <w:rsid w:val="00CC7A43"/>
    <w:rsid w:val="00CD613C"/>
    <w:rsid w:val="00CF0CC3"/>
    <w:rsid w:val="00CF3C59"/>
    <w:rsid w:val="00D130E1"/>
    <w:rsid w:val="00D138D1"/>
    <w:rsid w:val="00D3227A"/>
    <w:rsid w:val="00D373FA"/>
    <w:rsid w:val="00D41235"/>
    <w:rsid w:val="00D45981"/>
    <w:rsid w:val="00D635DA"/>
    <w:rsid w:val="00D72D42"/>
    <w:rsid w:val="00D873E9"/>
    <w:rsid w:val="00DA1E71"/>
    <w:rsid w:val="00DA22B6"/>
    <w:rsid w:val="00DA39C9"/>
    <w:rsid w:val="00DA519E"/>
    <w:rsid w:val="00DA6245"/>
    <w:rsid w:val="00DC1F40"/>
    <w:rsid w:val="00DC2E08"/>
    <w:rsid w:val="00DC3B8D"/>
    <w:rsid w:val="00DC46EE"/>
    <w:rsid w:val="00DC4878"/>
    <w:rsid w:val="00DD15A8"/>
    <w:rsid w:val="00DD4411"/>
    <w:rsid w:val="00DF05EA"/>
    <w:rsid w:val="00E01A1A"/>
    <w:rsid w:val="00E10CF5"/>
    <w:rsid w:val="00E14D4A"/>
    <w:rsid w:val="00E1531A"/>
    <w:rsid w:val="00E16D46"/>
    <w:rsid w:val="00E243C6"/>
    <w:rsid w:val="00E2537D"/>
    <w:rsid w:val="00E25669"/>
    <w:rsid w:val="00E300B7"/>
    <w:rsid w:val="00E31111"/>
    <w:rsid w:val="00E32263"/>
    <w:rsid w:val="00E50741"/>
    <w:rsid w:val="00E50D8C"/>
    <w:rsid w:val="00E51ED9"/>
    <w:rsid w:val="00E54DAD"/>
    <w:rsid w:val="00E57072"/>
    <w:rsid w:val="00E61386"/>
    <w:rsid w:val="00E654AD"/>
    <w:rsid w:val="00E6758C"/>
    <w:rsid w:val="00E700DB"/>
    <w:rsid w:val="00E7729E"/>
    <w:rsid w:val="00EA4C02"/>
    <w:rsid w:val="00EB712B"/>
    <w:rsid w:val="00EC5C2A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44804"/>
    <w:rsid w:val="00F6183A"/>
    <w:rsid w:val="00F61C0F"/>
    <w:rsid w:val="00F61FE3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A4226"/>
    <w:rsid w:val="00FB03A0"/>
    <w:rsid w:val="00FB0ABB"/>
    <w:rsid w:val="00FB463C"/>
    <w:rsid w:val="00FB75A7"/>
    <w:rsid w:val="00FC232D"/>
    <w:rsid w:val="00FE3014"/>
    <w:rsid w:val="00FF0BA8"/>
    <w:rsid w:val="00FF3DB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iuridicheskogo_litca_nerezidenta2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9E5455AD2F765CF7629113C5416D147466012D1D8E2BABA9E323B7C12240BAEBEF08D0274788FEZ7p9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/ru/services/rko/files/anketa_clienta-kreditnoi_organizatcii_01031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CB047A4-92ED-4A35-9BA1-D4433309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</CharactersWithSpaces>
  <SharedDoc>false</SharedDoc>
  <HLinks>
    <vt:vector size="18" baseType="variant"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http://besteffortsbank.ru/ru/services/rko/files/anketa_clienta-iuridicheskogo_litca_nerezidenta1.docx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rykunov</cp:lastModifiedBy>
  <cp:revision>6</cp:revision>
  <cp:lastPrinted>2015-10-08T08:36:00Z</cp:lastPrinted>
  <dcterms:created xsi:type="dcterms:W3CDTF">2017-06-20T09:20:00Z</dcterms:created>
  <dcterms:modified xsi:type="dcterms:W3CDTF">2017-06-28T08:52:00Z</dcterms:modified>
</cp:coreProperties>
</file>