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7" w:rsidRPr="0073679E" w:rsidRDefault="00327DC7" w:rsidP="00327DC7">
      <w:pPr>
        <w:jc w:val="right"/>
        <w:rPr>
          <w:rFonts w:ascii="Arial" w:hAnsi="Arial" w:cs="Arial"/>
          <w:i/>
        </w:rPr>
      </w:pPr>
      <w:r w:rsidRPr="00533EA7">
        <w:rPr>
          <w:rFonts w:ascii="Arial" w:hAnsi="Arial" w:cs="Arial"/>
          <w:i/>
        </w:rPr>
        <w:t>Приложение № 9</w:t>
      </w:r>
      <w:r w:rsidR="00EE08CE">
        <w:rPr>
          <w:rFonts w:ascii="Arial" w:hAnsi="Arial" w:cs="Arial"/>
          <w:i/>
          <w:lang w:val="en-US"/>
        </w:rPr>
        <w:t>a</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Default="00327DC7" w:rsidP="00327DC7">
      <w:pPr>
        <w:ind w:firstLine="249"/>
        <w:jc w:val="center"/>
        <w:rPr>
          <w:rFonts w:ascii="Arial" w:hAnsi="Arial" w:cs="Arial"/>
          <w:b/>
        </w:rPr>
      </w:pPr>
      <w:r w:rsidRPr="000376B5">
        <w:rPr>
          <w:rFonts w:ascii="Arial" w:hAnsi="Arial" w:cs="Arial"/>
          <w:b/>
        </w:rPr>
        <w:t>Декларация об общих рисках, связанных с осуществлением операций на рынке ценных бумаг ПАО «</w:t>
      </w:r>
      <w:r w:rsidR="0073679E">
        <w:rPr>
          <w:rFonts w:ascii="Arial" w:hAnsi="Arial" w:cs="Arial"/>
          <w:b/>
        </w:rPr>
        <w:t>СПБ</w:t>
      </w:r>
      <w:r w:rsidRPr="000376B5">
        <w:rPr>
          <w:rFonts w:ascii="Arial" w:hAnsi="Arial" w:cs="Arial"/>
          <w:b/>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proofErr w:type="gramStart"/>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0376B5">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0376B5">
        <w:rPr>
          <w:rFonts w:ascii="Arial" w:hAnsi="Arial" w:cs="Arial"/>
        </w:rPr>
        <w:t>может</w:t>
      </w:r>
      <w:proofErr w:type="gramEnd"/>
      <w:r w:rsidRPr="000376B5">
        <w:rPr>
          <w:rFonts w:ascii="Arial" w:hAnsi="Arial" w:cs="Arial"/>
        </w:rPr>
        <w:t xml:space="preserve">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0376B5">
        <w:rPr>
          <w:rFonts w:ascii="Arial" w:hAnsi="Arial" w:cs="Arial"/>
        </w:rPr>
        <w:t>ств тр</w:t>
      </w:r>
      <w:proofErr w:type="gramEnd"/>
      <w:r w:rsidRPr="000376B5">
        <w:rPr>
          <w:rFonts w:ascii="Arial" w:hAnsi="Arial" w:cs="Arial"/>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0376B5">
        <w:rPr>
          <w:rFonts w:ascii="Arial" w:hAnsi="Arial" w:cs="Arial"/>
        </w:rPr>
        <w:t>связи</w:t>
      </w:r>
      <w:proofErr w:type="gramEnd"/>
      <w:r w:rsidRPr="000376B5">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 xml:space="preserve">Ваш брокер является членом НАУФОР, </w:t>
      </w:r>
      <w:proofErr w:type="gramStart"/>
      <w:r w:rsidRPr="000376B5">
        <w:rPr>
          <w:rFonts w:ascii="Arial" w:hAnsi="Arial" w:cs="Arial"/>
        </w:rPr>
        <w:t>к</w:t>
      </w:r>
      <w:proofErr w:type="gramEnd"/>
      <w:r w:rsidRPr="000376B5">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б</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EE08CE" w:rsidRPr="00EE08CE" w:rsidRDefault="00EE08CE" w:rsidP="00327DC7">
      <w:pPr>
        <w:jc w:val="center"/>
        <w:rPr>
          <w:rFonts w:ascii="Arial" w:hAnsi="Arial" w:cs="Arial"/>
          <w:b/>
        </w:rPr>
      </w:pPr>
    </w:p>
    <w:p w:rsidR="00327DC7" w:rsidRPr="000376B5" w:rsidRDefault="00327DC7" w:rsidP="00327DC7">
      <w:pPr>
        <w:jc w:val="center"/>
        <w:rPr>
          <w:rFonts w:ascii="Arial" w:hAnsi="Arial" w:cs="Arial"/>
          <w:b/>
        </w:rPr>
      </w:pPr>
      <w:r w:rsidRPr="000376B5">
        <w:rPr>
          <w:rFonts w:ascii="Arial" w:hAnsi="Arial" w:cs="Arial"/>
          <w:b/>
        </w:rPr>
        <w:t>Декларация о рисках, связанных с совершением</w:t>
      </w:r>
    </w:p>
    <w:p w:rsidR="00327DC7" w:rsidRPr="000376B5" w:rsidRDefault="00327DC7" w:rsidP="00327DC7">
      <w:pPr>
        <w:jc w:val="center"/>
        <w:rPr>
          <w:rFonts w:ascii="Arial" w:hAnsi="Arial" w:cs="Arial"/>
          <w:b/>
        </w:rPr>
      </w:pPr>
      <w:r w:rsidRPr="000376B5">
        <w:rPr>
          <w:rFonts w:ascii="Arial" w:hAnsi="Arial" w:cs="Arial"/>
          <w:b/>
        </w:rPr>
        <w:t>маржинальных и непокрытых сделок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proofErr w:type="gramStart"/>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0376B5">
        <w:rPr>
          <w:rFonts w:ascii="Arial" w:hAnsi="Arial" w:cs="Arial"/>
        </w:rPr>
        <w:t>ств кл</w:t>
      </w:r>
      <w:proofErr w:type="gramEnd"/>
      <w:r w:rsidRPr="000376B5">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0376B5">
        <w:rPr>
          <w:rFonts w:ascii="Arial" w:hAnsi="Arial" w:cs="Arial"/>
        </w:rPr>
        <w:t>менее</w:t>
      </w:r>
      <w:proofErr w:type="gramEnd"/>
      <w:r w:rsidRPr="000376B5">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proofErr w:type="gramStart"/>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0376B5">
        <w:rPr>
          <w:rFonts w:ascii="Arial" w:hAnsi="Arial" w:cs="Arial"/>
        </w:rPr>
        <w:t xml:space="preserve"> При этом</w:t>
      </w:r>
      <w:proofErr w:type="gramStart"/>
      <w:r w:rsidRPr="000376B5">
        <w:rPr>
          <w:rFonts w:ascii="Arial" w:hAnsi="Arial" w:cs="Arial"/>
        </w:rPr>
        <w:t>,</w:t>
      </w:r>
      <w:proofErr w:type="gramEnd"/>
      <w:r w:rsidRPr="000376B5">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              _______.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в</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производными финансовыми инструментами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0376B5">
        <w:rPr>
          <w:rFonts w:ascii="Arial" w:hAnsi="Arial" w:cs="Arial"/>
        </w:rPr>
        <w:t>бо́льшим</w:t>
      </w:r>
      <w:proofErr w:type="spellEnd"/>
      <w:proofErr w:type="gramEnd"/>
      <w:r w:rsidRPr="000376B5">
        <w:rPr>
          <w:rFonts w:ascii="Arial" w:hAnsi="Arial" w:cs="Arial"/>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0376B5">
        <w:rPr>
          <w:rFonts w:ascii="Arial" w:hAnsi="Arial" w:cs="Arial"/>
        </w:rPr>
        <w:t>своп-контрактов</w:t>
      </w:r>
      <w:proofErr w:type="gramEnd"/>
      <w:r w:rsidRPr="000376B5">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0376B5">
        <w:rPr>
          <w:rFonts w:ascii="Arial" w:hAnsi="Arial" w:cs="Arial"/>
        </w:rPr>
        <w:t>спот-рынке</w:t>
      </w:r>
      <w:proofErr w:type="gramEnd"/>
      <w:r w:rsidRPr="000376B5">
        <w:rPr>
          <w:rFonts w:ascii="Arial" w:hAnsi="Arial" w:cs="Arial"/>
        </w:rPr>
        <w:t>.</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0376B5">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0376B5">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376B5">
        <w:rPr>
          <w:rFonts w:ascii="Arial" w:hAnsi="Arial" w:cs="Arial"/>
        </w:rPr>
        <w:t>направление</w:t>
      </w:r>
      <w:proofErr w:type="gramEnd"/>
      <w:r w:rsidRPr="000376B5">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________________           ________</w:t>
      </w:r>
      <w:r>
        <w:rPr>
          <w:rFonts w:ascii="Arial" w:hAnsi="Arial" w:cs="Arial"/>
        </w:rPr>
        <w:t xml:space="preserve">     </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г</w:t>
      </w:r>
    </w:p>
    <w:p w:rsidR="00EE08CE" w:rsidRDefault="00EE08CE" w:rsidP="00EE08CE">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приобретением иностранных ценных бумаг ПАО «</w:t>
      </w:r>
      <w:r w:rsidR="0073679E">
        <w:rPr>
          <w:rFonts w:ascii="Arial" w:hAnsi="Arial" w:cs="Arial"/>
          <w:b/>
        </w:rPr>
        <w:t>СПБ</w:t>
      </w:r>
      <w:r w:rsidRPr="000376B5">
        <w:rPr>
          <w:rFonts w:ascii="Arial" w:hAnsi="Arial" w:cs="Arial"/>
          <w:b/>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0376B5">
        <w:rPr>
          <w:rFonts w:ascii="Arial" w:hAnsi="Arial" w:cs="Arial"/>
        </w:rPr>
        <w:t>бумаг</w:t>
      </w:r>
      <w:proofErr w:type="gramEnd"/>
      <w:r w:rsidRPr="000376B5">
        <w:rPr>
          <w:rFonts w:ascii="Arial" w:hAnsi="Arial" w:cs="Arial"/>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w:t>
      </w:r>
      <w:r w:rsidRPr="000376B5">
        <w:rPr>
          <w:rFonts w:ascii="Arial" w:hAnsi="Arial" w:cs="Arial"/>
        </w:rPr>
        <w:lastRenderedPageBreak/>
        <w:t>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_______________            ______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д</w:t>
      </w:r>
    </w:p>
    <w:p w:rsidR="00327DC7"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Pr>
        <w:spacing w:after="100" w:afterAutospacing="1"/>
        <w:jc w:val="center"/>
        <w:rPr>
          <w:rFonts w:ascii="Arial" w:hAnsi="Arial" w:cs="Arial"/>
          <w:b/>
        </w:rPr>
      </w:pPr>
    </w:p>
    <w:p w:rsidR="00327DC7" w:rsidRPr="000376B5" w:rsidRDefault="00327DC7" w:rsidP="00327DC7">
      <w:pPr>
        <w:spacing w:after="100" w:afterAutospacing="1"/>
        <w:jc w:val="center"/>
        <w:rPr>
          <w:rFonts w:ascii="Arial" w:hAnsi="Arial" w:cs="Arial"/>
          <w:b/>
        </w:rPr>
      </w:pPr>
      <w:r w:rsidRPr="000376B5">
        <w:rPr>
          <w:rFonts w:ascii="Arial" w:hAnsi="Arial" w:cs="Arial"/>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73679E">
        <w:rPr>
          <w:rFonts w:ascii="Arial" w:hAnsi="Arial" w:cs="Arial"/>
          <w:b/>
        </w:rPr>
        <w:t xml:space="preserve">СПБ </w:t>
      </w:r>
      <w:bookmarkStart w:id="0" w:name="_GoBack"/>
      <w:bookmarkEnd w:id="0"/>
      <w:r w:rsidRPr="000376B5">
        <w:rPr>
          <w:rFonts w:ascii="Arial" w:hAnsi="Arial" w:cs="Arial"/>
          <w:b/>
        </w:rPr>
        <w:t>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0376B5">
        <w:rPr>
          <w:rFonts w:ascii="Arial" w:hAnsi="Arial" w:cs="Arial"/>
        </w:rPr>
        <w:t>колл</w:t>
      </w:r>
      <w:proofErr w:type="spellEnd"/>
      <w:r w:rsidRPr="000376B5">
        <w:rPr>
          <w:rFonts w:ascii="Arial" w:hAnsi="Arial" w:cs="Arial"/>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proofErr w:type="gramStart"/>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0376B5">
        <w:rPr>
          <w:rFonts w:ascii="Arial" w:hAnsi="Arial" w:cs="Arial"/>
        </w:rPr>
        <w:t>убытки</w:t>
      </w:r>
      <w:proofErr w:type="gramEnd"/>
      <w:r w:rsidRPr="000376B5">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w:t>
      </w:r>
      <w:r w:rsidRPr="000376B5">
        <w:rPr>
          <w:rFonts w:ascii="Arial" w:hAnsi="Arial" w:cs="Arial"/>
        </w:rPr>
        <w:lastRenderedPageBreak/>
        <w:t>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r w:rsidRPr="00432B91">
        <w:rPr>
          <w:rFonts w:ascii="Arial" w:hAnsi="Arial" w:cs="Arial"/>
        </w:rPr>
        <w:t>Подпись Клиента: ______________              ____</w:t>
      </w:r>
    </w:p>
    <w:p w:rsidR="00327DC7" w:rsidRPr="000376B5" w:rsidRDefault="00327DC7" w:rsidP="00327DC7">
      <w:pPr>
        <w:rPr>
          <w:rFonts w:ascii="Arial" w:hAnsi="Arial" w:cs="Arial"/>
        </w:rPr>
      </w:pPr>
      <w:r w:rsidRPr="000376B5">
        <w:rPr>
          <w:rFonts w:ascii="Arial" w:hAnsi="Arial" w:cs="Arial"/>
        </w:rPr>
        <w:t xml:space="preserve"> </w:t>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r>
      <w:r w:rsidRPr="000376B5">
        <w:rPr>
          <w:rFonts w:ascii="Arial" w:hAnsi="Arial" w:cs="Arial"/>
        </w:rPr>
        <w:tab/>
        <w:t xml:space="preserve">(Ф.И.О.) </w:t>
      </w:r>
      <w:r w:rsidRPr="000376B5">
        <w:rPr>
          <w:rFonts w:ascii="Arial" w:hAnsi="Arial" w:cs="Arial"/>
        </w:rPr>
        <w:tab/>
      </w:r>
      <w:r w:rsidRPr="000376B5">
        <w:rPr>
          <w:rFonts w:ascii="Arial" w:hAnsi="Arial" w:cs="Arial"/>
        </w:rPr>
        <w:tab/>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ind w:left="3540" w:firstLine="708"/>
        <w:rPr>
          <w:rFonts w:ascii="Arial" w:hAnsi="Arial" w:cs="Arial"/>
        </w:rPr>
      </w:pP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EE08CE" w:rsidRPr="00EE08CE" w:rsidRDefault="00EE08CE" w:rsidP="00EE08CE">
      <w:pPr>
        <w:jc w:val="right"/>
        <w:rPr>
          <w:rFonts w:ascii="Arial" w:hAnsi="Arial" w:cs="Arial"/>
          <w:i/>
        </w:rPr>
      </w:pPr>
      <w:r w:rsidRPr="00533EA7">
        <w:rPr>
          <w:rFonts w:ascii="Arial" w:hAnsi="Arial" w:cs="Arial"/>
          <w:i/>
        </w:rPr>
        <w:lastRenderedPageBreak/>
        <w:t>Приложение № 9</w:t>
      </w:r>
      <w:r>
        <w:rPr>
          <w:rFonts w:ascii="Arial" w:hAnsi="Arial" w:cs="Arial"/>
          <w:i/>
        </w:rPr>
        <w:t>е</w:t>
      </w:r>
    </w:p>
    <w:p w:rsidR="00EE08CE" w:rsidRPr="00EE08CE" w:rsidRDefault="00EE08CE" w:rsidP="00EE08CE">
      <w:pPr>
        <w:spacing w:after="100" w:afterAutospacing="1"/>
        <w:jc w:val="right"/>
        <w:rPr>
          <w:rFonts w:ascii="Arial" w:hAnsi="Arial" w:cs="Arial"/>
          <w:b/>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EE08CE" w:rsidRDefault="00327DC7" w:rsidP="00327DC7"/>
    <w:p w:rsidR="00327DC7" w:rsidRPr="00432B91" w:rsidRDefault="00327DC7" w:rsidP="00327DC7">
      <w:pPr>
        <w:ind w:firstLine="250"/>
        <w:jc w:val="center"/>
        <w:rPr>
          <w:rFonts w:ascii="Arial" w:hAnsi="Arial" w:cs="Arial"/>
          <w:b/>
        </w:rPr>
      </w:pPr>
      <w:r w:rsidRPr="00432B91">
        <w:rPr>
          <w:rFonts w:ascii="Arial" w:hAnsi="Arial" w:cs="Arial"/>
          <w:b/>
        </w:rPr>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32B91">
        <w:rPr>
          <w:rFonts w:ascii="Arial" w:hAnsi="Arial" w:cs="Arial"/>
        </w:rPr>
        <w:t>что</w:t>
      </w:r>
      <w:proofErr w:type="gramEnd"/>
      <w:r w:rsidRPr="00432B91">
        <w:rPr>
          <w:rFonts w:ascii="Arial" w:hAnsi="Arial" w:cs="Arial"/>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32B91">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32B91">
        <w:rPr>
          <w:rFonts w:ascii="Arial" w:hAnsi="Arial" w:cs="Arial"/>
        </w:rPr>
        <w:t xml:space="preserve">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 xml:space="preserve">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w:t>
      </w:r>
      <w:proofErr w:type="gramStart"/>
      <w:r w:rsidRPr="00432B91">
        <w:rPr>
          <w:rFonts w:ascii="Arial" w:hAnsi="Arial" w:cs="Arial"/>
        </w:rPr>
        <w:t>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w:t>
      </w:r>
      <w:proofErr w:type="gramEnd"/>
      <w:r w:rsidRPr="00432B91">
        <w:rPr>
          <w:rFonts w:ascii="Arial" w:hAnsi="Arial" w:cs="Arial"/>
        </w:rPr>
        <w:t xml:space="preserve">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proofErr w:type="gramStart"/>
      <w:r w:rsidRPr="00432B91">
        <w:rPr>
          <w:rFonts w:ascii="Arial" w:hAnsi="Arial" w:cs="Arial"/>
        </w:rPr>
        <w:t>Объединение ценных бумаг клиентов на торговом счете (</w:t>
      </w:r>
      <w:proofErr w:type="spellStart"/>
      <w:r w:rsidRPr="00432B91">
        <w:rPr>
          <w:rFonts w:ascii="Arial" w:hAnsi="Arial" w:cs="Arial"/>
        </w:rPr>
        <w:t>субсчете</w:t>
      </w:r>
      <w:proofErr w:type="spellEnd"/>
      <w:r w:rsidRPr="00432B91">
        <w:rPr>
          <w:rFonts w:ascii="Arial" w:hAnsi="Arial" w:cs="Arial"/>
        </w:rPr>
        <w:t>)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w:t>
      </w:r>
      <w:proofErr w:type="gramEnd"/>
      <w:r w:rsidRPr="00432B91">
        <w:rPr>
          <w:rFonts w:ascii="Arial" w:hAnsi="Arial" w:cs="Arial"/>
        </w:rPr>
        <w:t xml:space="preserve">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327DC7" w:rsidRPr="00432B91" w:rsidRDefault="00327DC7" w:rsidP="00327DC7">
      <w:pPr>
        <w:ind w:firstLine="250"/>
        <w:jc w:val="both"/>
        <w:rPr>
          <w:rFonts w:ascii="Arial" w:hAnsi="Arial" w:cs="Arial"/>
        </w:rPr>
      </w:pPr>
      <w:r w:rsidRPr="00432B91">
        <w:rPr>
          <w:rFonts w:ascii="Arial" w:hAnsi="Arial" w:cs="Arial"/>
        </w:rPr>
        <w:t xml:space="preserve">Учитывая </w:t>
      </w:r>
      <w:proofErr w:type="gramStart"/>
      <w:r w:rsidRPr="00432B91">
        <w:rPr>
          <w:rFonts w:ascii="Arial" w:hAnsi="Arial" w:cs="Arial"/>
        </w:rPr>
        <w:t>вышеизложенное</w:t>
      </w:r>
      <w:proofErr w:type="gramEnd"/>
      <w:r w:rsidRPr="00432B91">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327DC7" w:rsidRPr="00432B91" w:rsidRDefault="00327DC7" w:rsidP="00327DC7">
      <w:pPr>
        <w:rPr>
          <w:rFonts w:ascii="Arial" w:hAnsi="Arial" w:cs="Arial"/>
        </w:rPr>
      </w:pPr>
    </w:p>
    <w:p w:rsidR="00327DC7" w:rsidRPr="00432B91" w:rsidRDefault="00327DC7" w:rsidP="00327DC7">
      <w:pPr>
        <w:pStyle w:val="a3"/>
        <w:tabs>
          <w:tab w:val="clear" w:pos="2160"/>
        </w:tabs>
        <w:ind w:left="0" w:firstLine="284"/>
        <w:rPr>
          <w:rFonts w:ascii="Arial" w:hAnsi="Arial" w:cs="Arial"/>
        </w:rPr>
      </w:pPr>
    </w:p>
    <w:p w:rsidR="00327DC7" w:rsidRDefault="00327DC7" w:rsidP="00327DC7">
      <w:pPr>
        <w:rPr>
          <w:rFonts w:ascii="Arial" w:hAnsi="Arial" w:cs="Arial"/>
        </w:rPr>
      </w:pPr>
      <w:r>
        <w:rPr>
          <w:rFonts w:ascii="Arial" w:hAnsi="Arial" w:cs="Arial"/>
        </w:rPr>
        <w:lastRenderedPageBreak/>
        <w:t>Подпись Клиента: _____________________________________________________________</w:t>
      </w:r>
    </w:p>
    <w:p w:rsidR="00327DC7" w:rsidRDefault="00327DC7" w:rsidP="00327DC7">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(должность, Ф.И.О.) </w:t>
      </w:r>
      <w:r>
        <w:rPr>
          <w:rFonts w:ascii="Arial" w:hAnsi="Arial" w:cs="Arial"/>
        </w:rPr>
        <w:tab/>
      </w:r>
      <w:r>
        <w:rPr>
          <w:rFonts w:ascii="Arial" w:hAnsi="Arial" w:cs="Arial"/>
        </w:rPr>
        <w:tab/>
      </w:r>
    </w:p>
    <w:p w:rsidR="00327DC7" w:rsidRDefault="00327DC7" w:rsidP="00327DC7">
      <w:pPr>
        <w:rPr>
          <w:rFonts w:ascii="Arial" w:hAnsi="Arial" w:cs="Arial"/>
        </w:rPr>
      </w:pPr>
      <w:r>
        <w:rPr>
          <w:rFonts w:ascii="Arial" w:hAnsi="Arial" w:cs="Arial"/>
        </w:rPr>
        <w:t>Дата:</w:t>
      </w:r>
    </w:p>
    <w:p w:rsidR="00807BA7" w:rsidRPr="00327DC7" w:rsidRDefault="0073679E">
      <w:pPr>
        <w:rPr>
          <w:lang w:val="en-US"/>
        </w:rPr>
      </w:pPr>
    </w:p>
    <w:sectPr w:rsidR="00807BA7" w:rsidRPr="0032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0"/>
    <w:rsid w:val="00327DC7"/>
    <w:rsid w:val="005009CE"/>
    <w:rsid w:val="0073679E"/>
    <w:rsid w:val="00A570F0"/>
    <w:rsid w:val="00D153EC"/>
    <w:rsid w:val="00E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6100</Words>
  <Characters>34774</Characters>
  <Application>Microsoft Office Word</Application>
  <DocSecurity>0</DocSecurity>
  <Lines>289</Lines>
  <Paragraphs>81</Paragraphs>
  <ScaleCrop>false</ScaleCrop>
  <Company/>
  <LinksUpToDate>false</LinksUpToDate>
  <CharactersWithSpaces>40793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2</cp:revision>
  <dcterms:created xsi:type="dcterms:W3CDTF">2022-08-24T09:29:00Z</dcterms:created>
  <dcterms:modified xsi:type="dcterms:W3CDTF">2022-08-24T09:29:00Z</dcterms:modified>
</cp:coreProperties>
</file>