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7B" w:rsidRPr="00740F8E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Приложение № 2</w:t>
      </w:r>
      <w:r w:rsidR="00DB35E1">
        <w:rPr>
          <w:rFonts w:ascii="Arial" w:hAnsi="Arial" w:cs="Arial"/>
          <w:sz w:val="20"/>
          <w:szCs w:val="20"/>
        </w:rPr>
        <w:t>7</w:t>
      </w:r>
      <w:r w:rsidR="00740F8E">
        <w:rPr>
          <w:rFonts w:ascii="Arial" w:hAnsi="Arial" w:cs="Arial"/>
          <w:sz w:val="20"/>
          <w:szCs w:val="20"/>
        </w:rPr>
        <w:t>а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депозитарной деятельности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B52563">
        <w:rPr>
          <w:rFonts w:ascii="Arial" w:hAnsi="Arial" w:cs="Arial"/>
          <w:b/>
          <w:sz w:val="20"/>
          <w:szCs w:val="20"/>
        </w:rPr>
        <w:t>»</w:t>
      </w:r>
    </w:p>
    <w:p w:rsidR="00BA0374" w:rsidRPr="00B52563" w:rsidRDefault="00BA0374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Default="004D657B" w:rsidP="004D657B">
      <w:pPr>
        <w:jc w:val="center"/>
        <w:rPr>
          <w:rFonts w:ascii="Arial" w:hAnsi="Arial" w:cs="Arial"/>
          <w:b/>
          <w:sz w:val="20"/>
          <w:szCs w:val="20"/>
        </w:rPr>
      </w:pPr>
      <w:r w:rsidRPr="00B52563">
        <w:rPr>
          <w:rFonts w:ascii="Arial" w:hAnsi="Arial" w:cs="Arial"/>
          <w:b/>
          <w:sz w:val="20"/>
          <w:szCs w:val="20"/>
        </w:rPr>
        <w:t>Тарифы ПАО «Бест Эффортс Банк» за оказание депозитарных услуг</w:t>
      </w:r>
    </w:p>
    <w:p w:rsidR="0034407A" w:rsidRPr="0034407A" w:rsidRDefault="0034407A" w:rsidP="004D657B">
      <w:pPr>
        <w:jc w:val="center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(вступа</w:t>
      </w:r>
      <w:r w:rsidR="00E303A8">
        <w:rPr>
          <w:rFonts w:ascii="Arial" w:hAnsi="Arial" w:cs="Arial"/>
          <w:sz w:val="18"/>
          <w:szCs w:val="18"/>
        </w:rPr>
        <w:t>ю</w:t>
      </w:r>
      <w:r w:rsidRPr="0034407A">
        <w:rPr>
          <w:rFonts w:ascii="Arial" w:hAnsi="Arial" w:cs="Arial"/>
          <w:sz w:val="18"/>
          <w:szCs w:val="18"/>
        </w:rPr>
        <w:t>т в силу с 01.0</w:t>
      </w:r>
      <w:r w:rsidR="00E303A8">
        <w:rPr>
          <w:rFonts w:ascii="Arial" w:hAnsi="Arial" w:cs="Arial"/>
          <w:sz w:val="18"/>
          <w:szCs w:val="18"/>
        </w:rPr>
        <w:t>2</w:t>
      </w:r>
      <w:r w:rsidRPr="0034407A">
        <w:rPr>
          <w:rFonts w:ascii="Arial" w:hAnsi="Arial" w:cs="Arial"/>
          <w:sz w:val="18"/>
          <w:szCs w:val="18"/>
        </w:rPr>
        <w:t>.2020г.)</w:t>
      </w: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281"/>
        <w:gridCol w:w="2107"/>
        <w:gridCol w:w="141"/>
        <w:gridCol w:w="284"/>
        <w:gridCol w:w="163"/>
        <w:gridCol w:w="2814"/>
      </w:tblGrid>
      <w:tr w:rsidR="004D657B" w:rsidRPr="0034407A" w:rsidTr="00D0261D">
        <w:trPr>
          <w:cantSplit/>
          <w:trHeight w:val="563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34407A">
            <w:pPr>
              <w:tabs>
                <w:tab w:val="left" w:pos="72"/>
                <w:tab w:val="left" w:pos="716"/>
                <w:tab w:val="left" w:pos="923"/>
                <w:tab w:val="left" w:pos="1065"/>
                <w:tab w:val="left" w:pos="1137"/>
              </w:tabs>
              <w:ind w:right="2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ED182A">
            <w:pPr>
              <w:ind w:firstLine="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4D657B" w:rsidRPr="0034407A" w:rsidTr="00D0261D">
        <w:trPr>
          <w:trHeight w:hRule="exact" w:val="222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Открытие счета депо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906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Ведение счета депо при наличии остатков и/или условия проведения операций по счету депо, 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кроме кредитных организаций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для которых открыты индивидуальные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счета в вышестоящих депозитариях**.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433C2" w:rsidRPr="0034407A" w:rsidTr="0034407A">
        <w:trPr>
          <w:trHeight w:hRule="exact" w:val="847"/>
        </w:trPr>
        <w:tc>
          <w:tcPr>
            <w:tcW w:w="1134" w:type="dxa"/>
          </w:tcPr>
          <w:p w:rsidR="004433C2" w:rsidRPr="0034407A" w:rsidRDefault="004433C2" w:rsidP="00ED182A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5388" w:type="dxa"/>
            <w:gridSpan w:val="2"/>
          </w:tcPr>
          <w:p w:rsidR="004433C2" w:rsidRPr="0034407A" w:rsidRDefault="004433C2" w:rsidP="00ED182A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Ведение счета депо при наличии остатков и/или условия проведения операций по счету депо 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для кредитных </w:t>
            </w:r>
            <w:proofErr w:type="gramStart"/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организаций</w:t>
            </w:r>
            <w:proofErr w:type="gramEnd"/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для которых открыты индивидуальные счета в вышестоящих депозитариях**.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433C2" w:rsidRPr="0034407A" w:rsidRDefault="004433C2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3000  в месяц</w:t>
            </w:r>
          </w:p>
        </w:tc>
      </w:tr>
      <w:tr w:rsidR="00ED182A" w:rsidRPr="0034407A" w:rsidTr="0034407A">
        <w:trPr>
          <w:trHeight w:hRule="exact" w:val="279"/>
        </w:trPr>
        <w:tc>
          <w:tcPr>
            <w:tcW w:w="1134" w:type="dxa"/>
          </w:tcPr>
          <w:p w:rsidR="00ED182A" w:rsidRPr="0034407A" w:rsidRDefault="00ED182A" w:rsidP="00105F8C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r w:rsidR="00105F8C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88" w:type="dxa"/>
            <w:gridSpan w:val="2"/>
          </w:tcPr>
          <w:p w:rsidR="00ED182A" w:rsidRPr="0034407A" w:rsidRDefault="00ED182A" w:rsidP="004433C2">
            <w:pPr>
              <w:ind w:lef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Ведение Индивидуального счета в МРКЦ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ED182A" w:rsidRPr="0034407A" w:rsidRDefault="00D772D2" w:rsidP="00ED18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ED182A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000 в месяц</w:t>
            </w:r>
            <w:r w:rsidR="00DB1078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****</w:t>
            </w:r>
          </w:p>
        </w:tc>
      </w:tr>
      <w:tr w:rsidR="004D657B" w:rsidRPr="0034407A" w:rsidTr="00D0261D">
        <w:trPr>
          <w:trHeight w:hRule="exact" w:val="260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Назначение попечителя, оператора счета депо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287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Выписка по счету депо Депонента (по итогам операции)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574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Отчет о совершенной операции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(по итогам операции)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568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Предоставление информации (в т.ч. выписка/отчет о совершенной операции)  по запросу Депонента (Попечителя)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D0261D">
        <w:trPr>
          <w:trHeight w:hRule="exact" w:val="1011"/>
        </w:trPr>
        <w:tc>
          <w:tcPr>
            <w:tcW w:w="1134" w:type="dxa"/>
            <w:tcBorders>
              <w:bottom w:val="single" w:sz="4" w:space="0" w:color="auto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90" w:type="dxa"/>
            <w:gridSpan w:val="6"/>
          </w:tcPr>
          <w:p w:rsidR="004D657B" w:rsidRPr="0034407A" w:rsidRDefault="004D657B" w:rsidP="004D657B">
            <w:pPr>
              <w:pStyle w:val="BodyTextIndent21"/>
              <w:keepNext/>
              <w:spacing w:before="120" w:after="120"/>
              <w:ind w:left="0" w:firstLine="72"/>
              <w:jc w:val="both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 Инвентарные операции с </w:t>
            </w:r>
            <w:proofErr w:type="gramStart"/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ценными</w:t>
            </w:r>
            <w:proofErr w:type="gramEnd"/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бумаги (для физических и юридических лиц)</w:t>
            </w:r>
            <w:r w:rsidR="006B2857"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,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b w:val="0"/>
                <w:sz w:val="18"/>
                <w:szCs w:val="18"/>
                <w:lang w:eastAsia="ja-JP"/>
              </w:rPr>
              <w:t>кроме кредитных организаций для которых открыты индивидуальные счета в вышестоящих депозитариях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**.</w:t>
            </w: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57B" w:rsidRPr="0034407A" w:rsidTr="00D0261D">
        <w:trPr>
          <w:trHeight w:val="698"/>
        </w:trPr>
        <w:tc>
          <w:tcPr>
            <w:tcW w:w="1134" w:type="dxa"/>
            <w:tcBorders>
              <w:bottom w:val="nil"/>
            </w:tcBorders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529" w:type="dxa"/>
            <w:gridSpan w:val="3"/>
            <w:tcBorders>
              <w:bottom w:val="nil"/>
              <w:right w:val="single" w:sz="4" w:space="0" w:color="auto"/>
            </w:tcBorders>
          </w:tcPr>
          <w:p w:rsidR="004D657B" w:rsidRPr="0034407A" w:rsidRDefault="004D657B" w:rsidP="00ED182A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</w:p>
          <w:p w:rsidR="00105F8C" w:rsidRPr="0034407A" w:rsidRDefault="00105F8C" w:rsidP="00105F8C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торговым счетам депо по итогам организованных торгов на биржевых площадках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80 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 xml:space="preserve"> за операцию </w:t>
            </w:r>
          </w:p>
        </w:tc>
      </w:tr>
      <w:tr w:rsidR="00105F8C" w:rsidRPr="0034407A" w:rsidTr="00D0261D">
        <w:trPr>
          <w:trHeight w:val="698"/>
        </w:trPr>
        <w:tc>
          <w:tcPr>
            <w:tcW w:w="1134" w:type="dxa"/>
            <w:tcBorders>
              <w:bottom w:val="nil"/>
            </w:tcBorders>
          </w:tcPr>
          <w:p w:rsidR="00105F8C" w:rsidRPr="0034407A" w:rsidRDefault="00105F8C" w:rsidP="00105F8C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7.1.1</w:t>
            </w:r>
          </w:p>
        </w:tc>
        <w:tc>
          <w:tcPr>
            <w:tcW w:w="5529" w:type="dxa"/>
            <w:gridSpan w:val="3"/>
            <w:tcBorders>
              <w:bottom w:val="nil"/>
              <w:right w:val="single" w:sz="4" w:space="0" w:color="auto"/>
            </w:tcBorders>
          </w:tcPr>
          <w:p w:rsidR="00105F8C" w:rsidRPr="0034407A" w:rsidDel="00105F8C" w:rsidRDefault="00105F8C" w:rsidP="00ED182A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итогам клиринга внебиржевых расчетов ценными бумагами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</w:tcBorders>
          </w:tcPr>
          <w:p w:rsidR="00105F8C" w:rsidRPr="0034407A" w:rsidRDefault="00105F8C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 за операцию</w:t>
            </w:r>
          </w:p>
        </w:tc>
      </w:tr>
      <w:tr w:rsidR="004D657B" w:rsidRPr="0034407A" w:rsidTr="00D0261D">
        <w:trPr>
          <w:cantSplit/>
          <w:trHeight w:val="978"/>
        </w:trPr>
        <w:tc>
          <w:tcPr>
            <w:tcW w:w="1134" w:type="dxa"/>
            <w:tcBorders>
              <w:bottom w:val="nil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529" w:type="dxa"/>
            <w:gridSpan w:val="3"/>
            <w:tcBorders>
              <w:bottom w:val="nil"/>
              <w:right w:val="single" w:sz="4" w:space="0" w:color="auto"/>
            </w:tcBorders>
          </w:tcPr>
          <w:p w:rsidR="004D657B" w:rsidRPr="0034407A" w:rsidRDefault="004D657B" w:rsidP="0073243F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Прием  на учет ценных бумаг 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34407A">
              <w:rPr>
                <w:rFonts w:ascii="Arial" w:hAnsi="Arial" w:cs="Arial"/>
                <w:sz w:val="18"/>
                <w:szCs w:val="18"/>
              </w:rPr>
              <w:t>реестр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е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акционеров (депонирование без изменения прав собственности) на основании  поручения Депонента (Попечителя, Оператора счета Депо) отдельно по каждому выпуску ценных бумаг.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комиссии***</w:t>
            </w:r>
          </w:p>
        </w:tc>
      </w:tr>
      <w:tr w:rsidR="004D657B" w:rsidRPr="0034407A" w:rsidTr="0034407A">
        <w:trPr>
          <w:trHeight w:hRule="exact" w:val="1776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498"/>
                <w:tab w:val="left" w:pos="611"/>
                <w:tab w:val="left" w:pos="782"/>
              </w:tabs>
              <w:ind w:right="213" w:firstLine="21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529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Инвентарные </w:t>
            </w:r>
            <w:r w:rsidR="00105F8C" w:rsidRPr="0034407A">
              <w:rPr>
                <w:rFonts w:ascii="Arial" w:hAnsi="Arial" w:cs="Arial"/>
                <w:sz w:val="18"/>
                <w:szCs w:val="18"/>
              </w:rPr>
              <w:t xml:space="preserve">и глобальные 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депозитарные операции 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(в том числе операции по итогам проведения корпоративных действий: погашение, конвертация и пр.) </w:t>
            </w:r>
            <w:r w:rsidRPr="0034407A">
              <w:rPr>
                <w:rFonts w:ascii="Arial" w:hAnsi="Arial" w:cs="Arial"/>
                <w:sz w:val="18"/>
                <w:szCs w:val="18"/>
              </w:rPr>
              <w:t>по счету депо, за исключением операций указанных в пп 7.4, 7.5, 7.7</w:t>
            </w:r>
            <w:r w:rsidR="000452CB" w:rsidRPr="0034407A">
              <w:rPr>
                <w:rFonts w:ascii="Arial" w:hAnsi="Arial" w:cs="Arial"/>
                <w:sz w:val="18"/>
                <w:szCs w:val="18"/>
              </w:rPr>
              <w:t>, для депонентов, присоединившихся к Регламенту оказания услуг  на финансовых рынках.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Тариф, указанный в настоящем пункте, взимается отдельно по каждому выпуску ценных бумаг 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80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 xml:space="preserve"> за операцию***</w:t>
            </w:r>
          </w:p>
        </w:tc>
      </w:tr>
      <w:tr w:rsidR="0073243F" w:rsidRPr="0034407A" w:rsidTr="0071156F">
        <w:trPr>
          <w:trHeight w:hRule="exact" w:val="15719"/>
        </w:trPr>
        <w:tc>
          <w:tcPr>
            <w:tcW w:w="1134" w:type="dxa"/>
          </w:tcPr>
          <w:p w:rsidR="0073243F" w:rsidRPr="0034407A" w:rsidRDefault="0073243F" w:rsidP="00ED182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lastRenderedPageBreak/>
              <w:t>7.4</w:t>
            </w:r>
          </w:p>
        </w:tc>
        <w:tc>
          <w:tcPr>
            <w:tcW w:w="5529" w:type="dxa"/>
            <w:gridSpan w:val="3"/>
          </w:tcPr>
          <w:p w:rsidR="0073243F" w:rsidRPr="0034407A" w:rsidRDefault="007472FE" w:rsidP="00A96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  а)  Снятие ценных бумаг с депозитарного учета, операция, имеющая целью - расчеты по внебиржевым сделкам клиента на условиях расчета «Поставка свободная от платежа», (при рыночной стоимости / номинале выводимых ценных бумаг, превышающем 100 тыс.</w:t>
            </w:r>
            <w:r w:rsidR="00545F92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07A">
              <w:rPr>
                <w:rFonts w:ascii="Arial" w:hAnsi="Arial" w:cs="Arial"/>
                <w:sz w:val="18"/>
                <w:szCs w:val="18"/>
              </w:rPr>
              <w:t>рублей);</w:t>
            </w:r>
          </w:p>
          <w:p w:rsidR="0073243F" w:rsidRPr="0034407A" w:rsidRDefault="0073243F" w:rsidP="00A96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7472FE" w:rsidP="00340D3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2110E" w:rsidRPr="0034407A">
              <w:rPr>
                <w:rFonts w:ascii="Arial" w:hAnsi="Arial" w:cs="Arial"/>
                <w:sz w:val="18"/>
                <w:szCs w:val="18"/>
              </w:rPr>
              <w:t>б) Снятие ценных бумаг с депозитарного учета - операция, имеющая целью списание ценных бумаг со счета депо с их одновременным списанием в иной депозитарий (при рыночной стоимости / номинале выводимых ценных бумаг, превышающем 100 тыс. рублей).</w:t>
            </w:r>
          </w:p>
          <w:p w:rsidR="00340D39" w:rsidRPr="0034407A" w:rsidRDefault="00340D39" w:rsidP="00340D3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E2110E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этом к указанной операции по снятию ценных бумаг с депозитарного учета не применяется тариф в соответствии с пунктом 7.4, а применяется тариф в соответствии с п.7.3. в следующих случаях:</w:t>
            </w:r>
          </w:p>
          <w:p w:rsidR="00340D39" w:rsidRPr="0034407A" w:rsidRDefault="00340D39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E2110E" w:rsidP="00340D3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Операция (операции) по снятию ценных бумаг с депозитарного учета - списание ценных бумаг без перехода права собственности со счета депо владельца с их одновременным зачислением на счет депо владельца, открытого этим же депонентом</w:t>
            </w:r>
            <w:r w:rsidR="00F4447B" w:rsidRPr="0034407A">
              <w:rPr>
                <w:rFonts w:ascii="Arial" w:hAnsi="Arial" w:cs="Arial"/>
                <w:sz w:val="18"/>
                <w:szCs w:val="18"/>
              </w:rPr>
              <w:t>,</w:t>
            </w:r>
            <w:r w:rsidRPr="0034407A">
              <w:rPr>
                <w:rFonts w:ascii="Arial" w:hAnsi="Arial" w:cs="Arial"/>
                <w:sz w:val="18"/>
                <w:szCs w:val="18"/>
              </w:rPr>
              <w:t>  в иной российский депозитарий, осуществляющий в соответствии с законодательством Российской Федерации и внутренними документами, опубликованными на сайте такого депозитария, функции расчетного депозитария.</w:t>
            </w:r>
            <w:proofErr w:type="gramEnd"/>
          </w:p>
          <w:p w:rsidR="00340D39" w:rsidRPr="0034407A" w:rsidRDefault="00340D39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7472FE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 Операция (операции) по снятию ценных бумаг с депозитарного учета, если одновременно соблюдены следующие два условия:</w:t>
            </w:r>
          </w:p>
          <w:p w:rsidR="00340D39" w:rsidRPr="0034407A" w:rsidRDefault="00E2110E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      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1) депонент-резидент подал распоряжение на расторжение депозитарного договора и переводит ценные бумаги со счета депо  на счет депо аналогичного типа</w:t>
            </w:r>
            <w:r w:rsidR="007472FE" w:rsidRPr="0034407A">
              <w:rPr>
                <w:sz w:val="18"/>
                <w:szCs w:val="18"/>
              </w:rPr>
              <w:footnoteReference w:customMarkFollows="1" w:id="1"/>
              <w:t>[1]</w:t>
            </w:r>
            <w:r w:rsidR="007472FE" w:rsidRPr="0034407A">
              <w:rPr>
                <w:rFonts w:ascii="Arial" w:hAnsi="Arial" w:cs="Arial"/>
                <w:sz w:val="18"/>
                <w:szCs w:val="18"/>
              </w:rPr>
              <w:t>, открытый этим же депонентом  в ином российском депозитарии, либо  если  депонент-нерезидент подал распоряжение на расторжение депозитарного договора и переводит ценные бумаги в иной депозитарий на счет депо аналогичного  типа, открытый этим же депонентом-нерезидентом в таком депозитарии;</w:t>
            </w:r>
            <w:proofErr w:type="gramEnd"/>
          </w:p>
          <w:p w:rsidR="00340D39" w:rsidRPr="0034407A" w:rsidRDefault="007472FE" w:rsidP="00340D39">
            <w:pPr>
              <w:keepNext/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       2)  суммарная рыночная стоимость перемещаемых при расторжении депозитарного договора ценных бумаг не превышает 25 миллионов рублей. </w:t>
            </w:r>
          </w:p>
          <w:p w:rsidR="00340D39" w:rsidRPr="0034407A" w:rsidRDefault="00340D39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7472FE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3. Операция (операции) по снятию ценных бумаг депонентом  с депозитарного учета с целью перевода  ценных бумаг со счета депо  на счет депо аналогичного  типа в иной российский депозитарий, открытый этим же  депонентом в случае расторжения депозитарного договора в одностороннем порядке по инициативе Депозитария.</w:t>
            </w:r>
          </w:p>
          <w:p w:rsidR="00340D39" w:rsidRPr="0034407A" w:rsidRDefault="00340D39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407A" w:rsidRPr="0034407A" w:rsidRDefault="007472FE" w:rsidP="0034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4. Операция (операции) по снятию ценных бумаг с депозитарного учета с целью перевода ценных бумаг клиентов Депозитария–Депонента в иной российский депозитарий, в случае, если така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я(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такие) операция (операции), связана (связаны) с  </w:t>
            </w:r>
            <w:r w:rsidR="005A5380" w:rsidRPr="0034407A">
              <w:rPr>
                <w:rFonts w:ascii="Arial" w:hAnsi="Arial" w:cs="Arial"/>
                <w:sz w:val="18"/>
                <w:szCs w:val="18"/>
              </w:rPr>
              <w:t>возвратом</w:t>
            </w:r>
            <w:r w:rsid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07A" w:rsidRPr="0034407A">
              <w:rPr>
                <w:rFonts w:ascii="Arial" w:hAnsi="Arial" w:cs="Arial"/>
                <w:sz w:val="18"/>
                <w:szCs w:val="18"/>
              </w:rPr>
              <w:t xml:space="preserve">Депозитарием-Депонентом имущества его клиентам по причине аннулирования лицензии у Депозитария-Депонента. </w:t>
            </w:r>
          </w:p>
          <w:p w:rsidR="007472FE" w:rsidRPr="0034407A" w:rsidRDefault="007472FE" w:rsidP="00747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73243F" w:rsidRPr="0034407A" w:rsidRDefault="007472FE" w:rsidP="0034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15 %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от с рыночной стоимости указанных в поручении ценных бумаг в рублях по курсу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>, установленному Банком России на дату подачи поручения на проведение депозитарной операции. Для ценных бумаг, рыночную стоимость которых Депозитарий не может определить, используя имеющиеся у него в наличии информационные ресурсы и торговые системы,  расчет депозитарной комиссии осуществляется исходя не из цены, а из номинала ценной бумаги.</w:t>
            </w:r>
          </w:p>
          <w:p w:rsidR="0073243F" w:rsidRPr="0034407A" w:rsidRDefault="007472FE" w:rsidP="0034407A">
            <w:pPr>
              <w:pStyle w:val="af0"/>
              <w:numPr>
                <w:ilvl w:val="12"/>
                <w:numId w:val="0"/>
              </w:numPr>
              <w:ind w:right="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Суммарная рыночная стоимость определяется исходя из рыночной цены, рассчитанной на дату подачи поручения ПАО СПБ (приоритет 1), 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 xml:space="preserve">рыночной цены (3) </w:t>
            </w:r>
            <w:r w:rsidRPr="0034407A">
              <w:rPr>
                <w:rFonts w:ascii="Arial" w:hAnsi="Arial" w:cs="Arial"/>
                <w:sz w:val="18"/>
                <w:szCs w:val="18"/>
              </w:rPr>
              <w:t>ПАО Московская Биржа (приоритет 2),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 xml:space="preserve"> цены закрытия, транслируемой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иностранн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>ой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бирж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>ей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и информационными системами (приоритет 3) на дату подачи поручения на списание ценных бумаг.</w:t>
            </w:r>
          </w:p>
          <w:p w:rsidR="0073243F" w:rsidRPr="0034407A" w:rsidRDefault="0073243F" w:rsidP="0034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243F" w:rsidRPr="0034407A" w:rsidRDefault="007472FE" w:rsidP="003440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sz w:val="18"/>
                <w:szCs w:val="18"/>
              </w:rPr>
              <w:t>Оплата авансовая.</w:t>
            </w:r>
          </w:p>
        </w:tc>
      </w:tr>
      <w:tr w:rsidR="0071156F" w:rsidRPr="0034407A" w:rsidTr="0034407A">
        <w:trPr>
          <w:trHeight w:hRule="exact" w:val="5968"/>
        </w:trPr>
        <w:tc>
          <w:tcPr>
            <w:tcW w:w="1134" w:type="dxa"/>
          </w:tcPr>
          <w:p w:rsidR="0071156F" w:rsidRPr="0034407A" w:rsidRDefault="0071156F" w:rsidP="008E2843">
            <w:pPr>
              <w:tabs>
                <w:tab w:val="left" w:pos="72"/>
                <w:tab w:val="left" w:pos="498"/>
                <w:tab w:val="left" w:pos="611"/>
              </w:tabs>
              <w:ind w:righ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:rsidR="0071156F" w:rsidRPr="0034407A" w:rsidRDefault="00E2110E" w:rsidP="0071156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>5. Операция (операции) по снятию ценных бумаг клиентов Депозитария-Депонента/ Доверительного управляющего, лиц, которые были клиентами Депозитария-Депонента /Доверительного управляющего, но расторгли с ними депозитарный договор /</w:t>
            </w:r>
            <w:proofErr w:type="gramStart"/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>договор</w:t>
            </w:r>
            <w:proofErr w:type="gramEnd"/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доверительного управления, с целью 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списания в иной российский депозитарий </w:t>
            </w: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 xml:space="preserve">в связи с расторжением депозитарного договора/договора доверительного </w:t>
            </w:r>
            <w:r w:rsidR="007472FE" w:rsidRPr="0034407A">
              <w:rPr>
                <w:rFonts w:ascii="Arial" w:hAnsi="Arial" w:cs="Arial"/>
                <w:sz w:val="18"/>
                <w:szCs w:val="18"/>
              </w:rPr>
              <w:t>управления  без перехода права собственности,</w:t>
            </w: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 условии что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суммарная рыночная стоимость переводимых при расторжении депозитарного договора ценных бумаг не превышает 25 миллионов рублей</w:t>
            </w:r>
            <w:r w:rsidRPr="0034407A">
              <w:rPr>
                <w:rStyle w:val="a5"/>
              </w:rPr>
              <w:t xml:space="preserve"> </w:t>
            </w: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 xml:space="preserve"> (при предоставлении подтверждающих документов). </w:t>
            </w:r>
          </w:p>
          <w:p w:rsidR="0071156F" w:rsidRPr="0034407A" w:rsidRDefault="0071156F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56F" w:rsidRPr="0034407A" w:rsidRDefault="00E2110E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6. О</w:t>
            </w: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>перация (операции) по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снятию депонентом ценных бумаг с депозитарного учета для перевода  их  на счет депо аналогичного типа открытого этим же депонентом в ином депозитарий в случае, если вышеуказанные ценные бумаги  учитывались в Депозитарии Банка более 180 дней, и операция перевода ценных бумаг  носит разовый характер. </w:t>
            </w:r>
          </w:p>
          <w:p w:rsidR="0071156F" w:rsidRPr="0034407A" w:rsidRDefault="00E2110E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  </w:t>
            </w:r>
          </w:p>
          <w:p w:rsidR="0071156F" w:rsidRPr="0034407A" w:rsidRDefault="007472FE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в) Снятие ценных бумаг с депозитарного учета - операция имеющая целью расчеты по сделкам депонента на условиях «Поставка против платежа», в случае, если сумма сделки указанная в поручении отличается от рыночной стоимости на 20% и более сопоставимого объема указанных ценных бумаг на момент подачи поручения (при рыночной стоимости / номинале выводимых ценных бумаг, превышающем 100 тыс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ублей.). </w:t>
            </w:r>
          </w:p>
          <w:p w:rsidR="0071156F" w:rsidRPr="0034407A" w:rsidRDefault="0071156F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56F" w:rsidRPr="0034407A" w:rsidRDefault="0071156F" w:rsidP="0034407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71156F" w:rsidRPr="0034407A" w:rsidRDefault="0071156F" w:rsidP="00ED18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57B" w:rsidRPr="0034407A" w:rsidTr="0034407A">
        <w:trPr>
          <w:trHeight w:hRule="exact" w:val="835"/>
        </w:trPr>
        <w:tc>
          <w:tcPr>
            <w:tcW w:w="1134" w:type="dxa"/>
          </w:tcPr>
          <w:p w:rsidR="004D657B" w:rsidRPr="0034407A" w:rsidRDefault="004D657B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529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депозитарные операции по счету депо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 по п</w:t>
            </w:r>
            <w:r w:rsidRPr="0034407A">
              <w:rPr>
                <w:rFonts w:ascii="Arial" w:hAnsi="Arial" w:cs="Arial"/>
                <w:sz w:val="18"/>
                <w:szCs w:val="18"/>
              </w:rPr>
              <w:t>еревод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у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ценных бумаг между счетами «депо» одного Депонента Депозитария, между  разделами счета депо Депонента. 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комиссии***</w:t>
            </w:r>
          </w:p>
        </w:tc>
      </w:tr>
      <w:tr w:rsidR="0073243F" w:rsidRPr="0034407A" w:rsidTr="0034407A">
        <w:trPr>
          <w:trHeight w:hRule="exact" w:val="706"/>
        </w:trPr>
        <w:tc>
          <w:tcPr>
            <w:tcW w:w="1134" w:type="dxa"/>
          </w:tcPr>
          <w:p w:rsidR="0073243F" w:rsidRPr="0034407A" w:rsidRDefault="0073243F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7.5.1</w:t>
            </w:r>
          </w:p>
        </w:tc>
        <w:tc>
          <w:tcPr>
            <w:tcW w:w="5529" w:type="dxa"/>
            <w:gridSpan w:val="3"/>
          </w:tcPr>
          <w:p w:rsidR="0073243F" w:rsidRPr="0034407A" w:rsidRDefault="0073243F" w:rsidP="0073243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Инвентарные депозитарные операции по счету депо по - переводу </w:t>
            </w:r>
            <w:r w:rsidR="006B2857" w:rsidRPr="0034407A">
              <w:rPr>
                <w:rFonts w:ascii="Arial" w:hAnsi="Arial" w:cs="Arial"/>
                <w:sz w:val="18"/>
                <w:szCs w:val="18"/>
              </w:rPr>
              <w:t xml:space="preserve">ценных бумаг </w:t>
            </w:r>
            <w:r w:rsidRPr="0034407A">
              <w:rPr>
                <w:rFonts w:ascii="Arial" w:hAnsi="Arial" w:cs="Arial"/>
                <w:sz w:val="18"/>
                <w:szCs w:val="18"/>
              </w:rPr>
              <w:t>между счетами депо Депонентов Депозитария внутри Депозитария.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73243F" w:rsidRPr="0034407A" w:rsidRDefault="0073243F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80 за операцию</w:t>
            </w:r>
          </w:p>
        </w:tc>
      </w:tr>
      <w:tr w:rsidR="004D657B" w:rsidRPr="0034407A" w:rsidTr="0034407A">
        <w:trPr>
          <w:trHeight w:hRule="exact" w:val="291"/>
        </w:trPr>
        <w:tc>
          <w:tcPr>
            <w:tcW w:w="1134" w:type="dxa"/>
            <w:tcBorders>
              <w:bottom w:val="single" w:sz="4" w:space="0" w:color="auto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5529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Отмена поручения Депонента (Попечителя/Оператора)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2 000 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>/ за поручение</w:t>
            </w:r>
          </w:p>
        </w:tc>
      </w:tr>
      <w:tr w:rsidR="006C2993" w:rsidRPr="0034407A" w:rsidTr="0034407A">
        <w:trPr>
          <w:trHeight w:hRule="exact" w:val="27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8779B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счету депо для расчетов по итогам совершенных внебиржевых сделок «поставка против платежа»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 (DVP)</w:t>
            </w:r>
            <w:r w:rsidRPr="0034407A">
              <w:rPr>
                <w:rFonts w:ascii="Arial" w:hAnsi="Arial" w:cs="Arial"/>
                <w:sz w:val="18"/>
                <w:szCs w:val="18"/>
              </w:rPr>
              <w:t>, за исключением случаев указанных в пункте 7.4.в) Тарифов.</w:t>
            </w:r>
          </w:p>
          <w:p w:rsidR="006C2993" w:rsidRPr="0034407A" w:rsidRDefault="006C2993" w:rsidP="0058760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определении стоимости операции «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» стоимость проведенной операции рассчитывается как стоимость за одну инвентарную операцию  по счету депо для расчетов по итогам совершенных внебиржевых сделок «поставка против платежа», </w:t>
            </w:r>
            <w:r w:rsidR="00587600" w:rsidRPr="0034407A">
              <w:rPr>
                <w:rFonts w:ascii="Arial" w:hAnsi="Arial" w:cs="Arial"/>
                <w:sz w:val="18"/>
                <w:szCs w:val="18"/>
              </w:rPr>
              <w:t>умноженную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на количество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поручений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 xml:space="preserve">осуществление операций на условиях 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DVP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, переданных Депозитарию Депонентом, для проведения такой операции  «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»</w:t>
            </w:r>
            <w:r w:rsidR="00C653DF" w:rsidRPr="003440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8779BE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1000 /за операцию***</w:t>
            </w:r>
          </w:p>
          <w:p w:rsidR="006C2993" w:rsidRPr="0034407A" w:rsidRDefault="006C2993" w:rsidP="00877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2F8" w:rsidRPr="0034407A" w:rsidTr="0034407A">
        <w:trPr>
          <w:trHeight w:hRule="exact" w:val="702"/>
        </w:trPr>
        <w:tc>
          <w:tcPr>
            <w:tcW w:w="1134" w:type="dxa"/>
          </w:tcPr>
          <w:p w:rsidR="00C072F8" w:rsidRPr="0034407A" w:rsidRDefault="00C072F8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9" w:type="dxa"/>
            <w:gridSpan w:val="3"/>
          </w:tcPr>
          <w:p w:rsidR="00C072F8" w:rsidRPr="0034407A" w:rsidRDefault="00500353" w:rsidP="008E2843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Зачисление или 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>списание ценных бумаг по поручению Депонента или клиента Депозитария, требующ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ему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 исполнение в МРКЦ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C072F8" w:rsidRPr="0034407A" w:rsidRDefault="001E2FBE" w:rsidP="008E2843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45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>0 за кажд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ый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выпуск ценных бумаг</w:t>
            </w:r>
            <w:r w:rsidR="008E2843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>в поручении</w:t>
            </w:r>
            <w:bookmarkStart w:id="0" w:name="_GoBack"/>
            <w:bookmarkEnd w:id="0"/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C2993" w:rsidRPr="0034407A" w:rsidTr="00D0261D">
        <w:trPr>
          <w:trHeight w:hRule="exact" w:val="887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4D657B">
            <w:pPr>
              <w:pStyle w:val="BodyTextIndent21"/>
              <w:keepNext/>
              <w:spacing w:before="120" w:after="120"/>
              <w:ind w:left="72" w:firstLine="0"/>
              <w:jc w:val="both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 Плата за услуги по хранению и /или учету прав на ценные бумаги (для физических и юридических лиц) </w:t>
            </w:r>
            <w:r w:rsidRPr="0034407A">
              <w:rPr>
                <w:rFonts w:ascii="Arial" w:eastAsiaTheme="minorEastAsia" w:hAnsi="Arial" w:cs="Arial"/>
                <w:b w:val="0"/>
                <w:sz w:val="18"/>
                <w:szCs w:val="18"/>
                <w:lang w:eastAsia="ja-JP"/>
              </w:rPr>
              <w:t xml:space="preserve">кроме кредитных организаций для которых открыты индивидуальные счета в вышестоящих депозитариях** </w:t>
            </w:r>
          </w:p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993" w:rsidRPr="0034407A" w:rsidTr="00D0261D">
        <w:trPr>
          <w:trHeight w:hRule="exact" w:val="560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ED182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государственных,  муниципальных, корпоративных облигаций:</w:t>
            </w:r>
          </w:p>
        </w:tc>
      </w:tr>
      <w:tr w:rsidR="006C2993" w:rsidRPr="0034407A" w:rsidTr="00D0261D">
        <w:trPr>
          <w:trHeight w:hRule="exact" w:val="8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4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(руб.)*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D0261D">
        <w:trPr>
          <w:trHeight w:hRule="exact" w:val="3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Ставка %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0,023% </w:t>
            </w:r>
          </w:p>
        </w:tc>
      </w:tr>
      <w:tr w:rsidR="006C2993" w:rsidRPr="0034407A" w:rsidTr="00D0261D">
        <w:trPr>
          <w:trHeight w:hRule="exact" w:val="5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0,02%</w:t>
            </w:r>
          </w:p>
        </w:tc>
      </w:tr>
      <w:tr w:rsidR="006C2993" w:rsidRPr="0034407A" w:rsidTr="00D0261D">
        <w:trPr>
          <w:trHeight w:hRule="exact" w:val="5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0,018%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30 000 000 000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0,0165%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50 000 000 000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125 000 000 000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0,014%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125 000 000 000,01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0,012%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1 000 000 000 000,01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1 500 000 000 000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0,0115%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1 500 000 000 000,01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1 800 000 000 000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0,011%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1 800 000 000 000,01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0,0105%</w:t>
            </w:r>
          </w:p>
        </w:tc>
      </w:tr>
      <w:tr w:rsidR="006C2993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2 000 000 000 000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0.01%</w:t>
            </w:r>
          </w:p>
        </w:tc>
      </w:tr>
      <w:tr w:rsidR="006C2993" w:rsidRPr="0034407A" w:rsidTr="00D0261D">
        <w:trPr>
          <w:trHeight w:hRule="exact" w:val="525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611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4D657B">
            <w:pPr>
              <w:ind w:firstLine="21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 - акций, инвестиционных паев:</w:t>
            </w:r>
          </w:p>
        </w:tc>
      </w:tr>
      <w:tr w:rsidR="006C2993" w:rsidRPr="0034407A" w:rsidTr="00D0261D">
        <w:trPr>
          <w:trHeight w:hRule="exact" w:val="781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(руб.)*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34407A" w:rsidRDefault="006C2993" w:rsidP="00A75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D0261D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A755E1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Ставка %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115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6C2993" w:rsidRPr="0034407A" w:rsidTr="00D0261D">
        <w:trPr>
          <w:trHeight w:hRule="exact" w:val="5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30 000 000 000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34407A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50 000 000 000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095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125 000 000 000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085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125 000 000 000,01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068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1 000 000 000 000,01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1 500 000 000 000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05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1 500 000 000 000,01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1 800 000 000 000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04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1 800 000 000 000,01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028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2 000 000 000 000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0.0025%</w:t>
            </w:r>
          </w:p>
        </w:tc>
      </w:tr>
      <w:tr w:rsidR="0034407A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07A" w:rsidRPr="0034407A" w:rsidRDefault="0034407A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07A" w:rsidRPr="0034407A" w:rsidRDefault="0034407A" w:rsidP="0034407A">
            <w:pPr>
              <w:pStyle w:val="a3"/>
              <w:ind w:left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07A" w:rsidRPr="0034407A" w:rsidRDefault="0034407A" w:rsidP="00ED182A">
            <w:pPr>
              <w:pStyle w:val="a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2993" w:rsidRPr="0034407A" w:rsidTr="00D0261D">
        <w:trPr>
          <w:trHeight w:hRule="exact" w:val="696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  <w:r w:rsidR="0073243F" w:rsidRPr="0034407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ED18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бумаги, учитываемых в международных депозитариях:</w:t>
            </w:r>
          </w:p>
        </w:tc>
      </w:tr>
      <w:tr w:rsidR="006C2993" w:rsidRPr="0034407A" w:rsidTr="00D0261D">
        <w:trPr>
          <w:trHeight w:hRule="exact" w:val="865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(рублей)*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34407A" w:rsidRDefault="006C2993" w:rsidP="00A75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D0261D">
        <w:trPr>
          <w:trHeight w:hRule="exact" w:val="6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A755E1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Ставка % годовых, мин. 300  рублей</w:t>
            </w:r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0,056%  </w:t>
            </w:r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0,05%  </w:t>
            </w:r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5 000 000 000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0,04%  </w:t>
            </w:r>
          </w:p>
        </w:tc>
      </w:tr>
      <w:tr w:rsidR="006C2993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5 000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34407A">
              <w:rPr>
                <w:rFonts w:ascii="Arial" w:hAnsi="Arial" w:cs="Arial"/>
                <w:sz w:val="18"/>
                <w:szCs w:val="18"/>
              </w:rPr>
              <w:t>000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34407A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0.03%</w:t>
            </w:r>
          </w:p>
        </w:tc>
      </w:tr>
    </w:tbl>
    <w:p w:rsidR="00B52563" w:rsidRPr="0034407A" w:rsidRDefault="00B52563" w:rsidP="00B52563">
      <w:pPr>
        <w:jc w:val="both"/>
        <w:rPr>
          <w:rFonts w:ascii="Arial" w:hAnsi="Arial" w:cs="Arial"/>
          <w:sz w:val="18"/>
          <w:szCs w:val="18"/>
        </w:rPr>
      </w:pPr>
    </w:p>
    <w:p w:rsidR="00B52563" w:rsidRPr="0034407A" w:rsidRDefault="00B52563" w:rsidP="00B52563">
      <w:pPr>
        <w:ind w:left="-426" w:firstLine="426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Услуги, оказанные Депозитарием в рамках лицензируемой деятельности, на основании п.п. 12.2 п. 2 ст. 149 НК РФ не облагаются НДС. Прочие услуги, оказанные Депозитарием в рамках Условий осуществления депозитарной деятельности ПАО «Бест Эффортс Банк», подлежат обложению НДС. </w:t>
      </w:r>
    </w:p>
    <w:p w:rsidR="00B52563" w:rsidRPr="0034407A" w:rsidRDefault="00B52563" w:rsidP="00B52563">
      <w:pPr>
        <w:pStyle w:val="ac"/>
        <w:spacing w:after="0"/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73243F" w:rsidRPr="0034407A" w:rsidRDefault="0073243F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proofErr w:type="gramStart"/>
      <w:r w:rsidRPr="0034407A">
        <w:rPr>
          <w:rFonts w:ascii="Arial" w:hAnsi="Arial" w:cs="Arial"/>
          <w:sz w:val="18"/>
          <w:szCs w:val="18"/>
        </w:rPr>
        <w:t>Тарифы Депозитария, приведенные в настоящем Приложении к Условиям осуществления депозитарной деятельности не распространяются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на услуги по ведению клирингового счета депо и субсчетов депо.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Затраты взимаемые третьими лицами с Депозитария по услугам предоставленным</w:t>
      </w:r>
      <w:r w:rsidR="00642E59" w:rsidRPr="0034407A">
        <w:rPr>
          <w:rFonts w:ascii="Arial" w:hAnsi="Arial" w:cs="Arial"/>
          <w:sz w:val="18"/>
          <w:szCs w:val="18"/>
        </w:rPr>
        <w:t xml:space="preserve"> д</w:t>
      </w:r>
      <w:r w:rsidR="00653C88" w:rsidRPr="0034407A">
        <w:rPr>
          <w:rFonts w:ascii="Arial" w:hAnsi="Arial" w:cs="Arial"/>
          <w:sz w:val="18"/>
          <w:szCs w:val="18"/>
        </w:rPr>
        <w:t>епоненту</w:t>
      </w:r>
      <w:r w:rsidRPr="0034407A">
        <w:rPr>
          <w:rFonts w:ascii="Arial" w:hAnsi="Arial" w:cs="Arial"/>
          <w:sz w:val="18"/>
          <w:szCs w:val="18"/>
        </w:rPr>
        <w:t>, но не указанные в Тарифах Банка, возмещаются депонентом.</w:t>
      </w:r>
    </w:p>
    <w:p w:rsidR="00642E59" w:rsidRPr="0034407A" w:rsidRDefault="00642E59" w:rsidP="00642E59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Затраты взимаемые третьими лицами, в иностранной валюте возмещаются депонентом в валюте Российской Федерации по курсу Банка России на дату списания затрат третьим лицом.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*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 депо 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выходных и праздничных дней значения остатка в штуках и рыночной цены выпуска принимаются </w:t>
      </w:r>
      <w:proofErr w:type="gramStart"/>
      <w:r w:rsidRPr="0034407A">
        <w:rPr>
          <w:rFonts w:ascii="Arial" w:hAnsi="Arial" w:cs="Arial"/>
          <w:sz w:val="18"/>
          <w:szCs w:val="18"/>
        </w:rPr>
        <w:t>равными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значениям за предшествующий рабочий день. Ставка ежемесячной платы за услуги по хранению ценных бумаг и/или учету прав на ценные бумаги, не имеющие рыночной цены – для акций,  инвестиционных паев и депозитарных расписок составляет 300</w:t>
      </w:r>
      <w:r w:rsidR="00653C88" w:rsidRPr="0034407A">
        <w:rPr>
          <w:rFonts w:ascii="Arial" w:hAnsi="Arial" w:cs="Arial"/>
          <w:sz w:val="18"/>
          <w:szCs w:val="18"/>
        </w:rPr>
        <w:t xml:space="preserve"> (Триста)</w:t>
      </w:r>
      <w:r w:rsidRPr="0034407A">
        <w:rPr>
          <w:rFonts w:ascii="Arial" w:hAnsi="Arial" w:cs="Arial"/>
          <w:sz w:val="18"/>
          <w:szCs w:val="18"/>
        </w:rPr>
        <w:t xml:space="preserve"> рублей за один выпуск ценных бумаг на счете депо, но не более 15</w:t>
      </w:r>
      <w:r w:rsidR="00653C88" w:rsidRPr="0034407A">
        <w:rPr>
          <w:rFonts w:ascii="Arial" w:hAnsi="Arial" w:cs="Arial"/>
          <w:sz w:val="18"/>
          <w:szCs w:val="18"/>
        </w:rPr>
        <w:t xml:space="preserve"> </w:t>
      </w:r>
      <w:r w:rsidRPr="0034407A">
        <w:rPr>
          <w:rFonts w:ascii="Arial" w:hAnsi="Arial" w:cs="Arial"/>
          <w:sz w:val="18"/>
          <w:szCs w:val="18"/>
        </w:rPr>
        <w:t>000</w:t>
      </w:r>
      <w:r w:rsidR="00653C88" w:rsidRPr="0034407A">
        <w:rPr>
          <w:rFonts w:ascii="Arial" w:hAnsi="Arial" w:cs="Arial"/>
          <w:sz w:val="18"/>
          <w:szCs w:val="18"/>
        </w:rPr>
        <w:t xml:space="preserve"> (Пятнадцати тысяч)</w:t>
      </w:r>
      <w:r w:rsidRPr="0034407A">
        <w:rPr>
          <w:rFonts w:ascii="Arial" w:hAnsi="Arial" w:cs="Arial"/>
          <w:sz w:val="18"/>
          <w:szCs w:val="18"/>
        </w:rPr>
        <w:t xml:space="preserve"> рублей.</w:t>
      </w:r>
    </w:p>
    <w:p w:rsidR="006A7CEA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Ежемесячная плата за услуги по хранению ценных бумаг и/или учету прав на ценные бумаги рассчитывается по формуле:</w:t>
      </w:r>
    </w:p>
    <w:p w:rsidR="00B52563" w:rsidRPr="0034407A" w:rsidRDefault="00B52563" w:rsidP="006A7CEA">
      <w:pPr>
        <w:ind w:left="-426" w:firstLine="426"/>
        <w:jc w:val="center"/>
        <w:rPr>
          <w:rFonts w:ascii="Arial" w:hAnsi="Arial" w:cs="Arial"/>
          <w:b/>
          <w:sz w:val="18"/>
          <w:szCs w:val="18"/>
        </w:rPr>
      </w:pPr>
      <w:r w:rsidRPr="0034407A">
        <w:rPr>
          <w:rFonts w:ascii="Arial" w:hAnsi="Arial" w:cs="Arial"/>
          <w:b/>
          <w:sz w:val="18"/>
          <w:szCs w:val="18"/>
        </w:rPr>
        <w:t xml:space="preserve">(Стоимость остатка ценных бумаг ×количество дней в месяце)/360×Ставка тарифа </w:t>
      </w:r>
      <w:proofErr w:type="gramStart"/>
      <w:r w:rsidRPr="0034407A">
        <w:rPr>
          <w:rFonts w:ascii="Arial" w:hAnsi="Arial" w:cs="Arial"/>
          <w:b/>
          <w:sz w:val="18"/>
          <w:szCs w:val="18"/>
        </w:rPr>
        <w:t>в</w:t>
      </w:r>
      <w:proofErr w:type="gramEnd"/>
      <w:r w:rsidRPr="0034407A">
        <w:rPr>
          <w:rFonts w:ascii="Arial" w:hAnsi="Arial" w:cs="Arial"/>
          <w:b/>
          <w:sz w:val="18"/>
          <w:szCs w:val="18"/>
        </w:rPr>
        <w:t xml:space="preserve"> % годовых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Рыночная стоимость для определения размера Тарифа Депозитария определяется в следующем порядке:</w:t>
      </w:r>
    </w:p>
    <w:p w:rsidR="00B52563" w:rsidRPr="0034407A" w:rsidRDefault="00B52563" w:rsidP="00BB74ED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рыночной стоимости акций акционерных обществ, инвестиционных паев паевых инвестиционных фондов и депозитарных расписок используется доступная Депозитарию информация, официально предоставляемая организаторами торговли</w:t>
      </w:r>
      <w:r w:rsidR="002D1A5C" w:rsidRPr="0034407A">
        <w:rPr>
          <w:rFonts w:ascii="Arial" w:hAnsi="Arial" w:cs="Arial"/>
          <w:sz w:val="18"/>
          <w:szCs w:val="18"/>
        </w:rPr>
        <w:t xml:space="preserve"> или информационными системами (при отсутствии рыночных цен, определенных организаторами торговли)</w:t>
      </w:r>
      <w:r w:rsidRPr="0034407A">
        <w:rPr>
          <w:rFonts w:ascii="Arial" w:hAnsi="Arial" w:cs="Arial"/>
          <w:sz w:val="18"/>
          <w:szCs w:val="18"/>
        </w:rPr>
        <w:t xml:space="preserve">. 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этом устанавливается следующий приоритет использования котировок: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Для ценных бумаг российских эмитентов: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1 (Высший) – средневзвешенная цена, раскрываемая организатором торговли (ПАО Московская биржа, ПАО «Санкт-Петербургская биржа»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2 – цена последней сделки, раскрываемая организатором торговли (ПАО Московская биржа, ПАО «Санкт-Петербургская биржа»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3 – цены/котировки, раскрываемые признанными источниками информациями, в том числе информационными системами Reuters, Bloomberg, СРО НФА,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дней.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Для ценных бумаг иностранных эмитентов и ценных бумаг российских эмитентов, номинированных в иностранной валюте: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1 (Высший) – цена закрытия торгов, раскрываемые признанными источниками информациями, в том числе информационными системами Reuters, Bloomberg, СРО НФА. Для определения справедливой стоимости используется цена закрытия рынка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 xml:space="preserve">0 торговых дней. 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2 – цена закрытия торгов, раскрываемая организатором торговли (зарубежные торговые площадки, биржи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при отсутствии данных о рыночной цене ценных бумаг конкретного эмитента за </w:t>
      </w:r>
      <w:proofErr w:type="gramStart"/>
      <w:r w:rsidRPr="0034407A">
        <w:rPr>
          <w:rFonts w:ascii="Arial" w:hAnsi="Arial" w:cs="Arial"/>
          <w:sz w:val="18"/>
          <w:szCs w:val="18"/>
        </w:rPr>
        <w:t>последние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90 торговых дней, рыночная цена этих ценных бумаг принимается равной нулю;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lastRenderedPageBreak/>
        <w:t>если при оценке стои</w:t>
      </w:r>
      <w:r w:rsidR="006A7CEA" w:rsidRPr="0034407A">
        <w:rPr>
          <w:rFonts w:ascii="Arial" w:hAnsi="Arial" w:cs="Arial"/>
          <w:sz w:val="18"/>
          <w:szCs w:val="18"/>
        </w:rPr>
        <w:t>мости конкретной ценной бумаги о</w:t>
      </w:r>
      <w:r w:rsidRPr="0034407A">
        <w:rPr>
          <w:rFonts w:ascii="Arial" w:hAnsi="Arial" w:cs="Arial"/>
          <w:sz w:val="18"/>
          <w:szCs w:val="18"/>
        </w:rPr>
        <w:t>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определяемый в соответствии с настоящим документом показатель «рыночная стоимость ценных бумаг» выражается в </w:t>
      </w:r>
      <w:r w:rsidR="00EC72F8" w:rsidRPr="0034407A">
        <w:rPr>
          <w:rFonts w:ascii="Arial" w:hAnsi="Arial" w:cs="Arial"/>
          <w:sz w:val="18"/>
          <w:szCs w:val="18"/>
        </w:rPr>
        <w:t xml:space="preserve">российских </w:t>
      </w:r>
      <w:r w:rsidRPr="0034407A">
        <w:rPr>
          <w:rFonts w:ascii="Arial" w:hAnsi="Arial" w:cs="Arial"/>
          <w:sz w:val="18"/>
          <w:szCs w:val="18"/>
        </w:rPr>
        <w:t>рублях. При использовании в расчетах рыночных цен, выраженных в иностранной валюте, рыночная стоимость соответствующих ценных бумаг в иностранной валюте пересчитывается в</w:t>
      </w:r>
      <w:r w:rsidR="00EC72F8" w:rsidRPr="0034407A">
        <w:rPr>
          <w:rFonts w:ascii="Arial" w:hAnsi="Arial" w:cs="Arial"/>
          <w:sz w:val="18"/>
          <w:szCs w:val="18"/>
        </w:rPr>
        <w:t xml:space="preserve"> российские</w:t>
      </w:r>
      <w:r w:rsidRPr="0034407A">
        <w:rPr>
          <w:rFonts w:ascii="Arial" w:hAnsi="Arial" w:cs="Arial"/>
          <w:sz w:val="18"/>
          <w:szCs w:val="18"/>
        </w:rPr>
        <w:t xml:space="preserve"> рубли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</w:t>
      </w:r>
      <w:r w:rsidR="00EC72F8" w:rsidRPr="0034407A">
        <w:rPr>
          <w:rFonts w:ascii="Arial" w:hAnsi="Arial" w:cs="Arial"/>
          <w:sz w:val="18"/>
          <w:szCs w:val="18"/>
        </w:rPr>
        <w:t xml:space="preserve"> российских</w:t>
      </w:r>
      <w:r w:rsidRPr="0034407A">
        <w:rPr>
          <w:rFonts w:ascii="Arial" w:hAnsi="Arial" w:cs="Arial"/>
          <w:sz w:val="18"/>
          <w:szCs w:val="18"/>
        </w:rPr>
        <w:t xml:space="preserve"> рублях в соответствии с рекомендациями Центрального банка Российской Федерации.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** Кредитные организации, которым открыты индивидуальные счета в вышестоящих депозитариях, возмещают все затраты понесённые Депозитарием в связи с исполнением поручений по счету данной организации.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***Депоненты дополнительно к тарифу оплачивают комиссии и сборы третьих лиц, связанные с исполнением поручения депонента.</w:t>
      </w:r>
    </w:p>
    <w:p w:rsidR="00B52563" w:rsidRPr="0034407A" w:rsidRDefault="004B0411" w:rsidP="00DB1078">
      <w:pPr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**** Депоненты дополнительно к тарифу оплачивают </w:t>
      </w:r>
      <w:r w:rsidR="00E7589A" w:rsidRPr="0034407A">
        <w:rPr>
          <w:rFonts w:ascii="Arial" w:hAnsi="Arial" w:cs="Arial"/>
          <w:sz w:val="18"/>
          <w:szCs w:val="18"/>
        </w:rPr>
        <w:t xml:space="preserve">комиссии </w:t>
      </w:r>
      <w:r w:rsidRPr="0034407A">
        <w:rPr>
          <w:rFonts w:ascii="Arial" w:hAnsi="Arial" w:cs="Arial"/>
          <w:sz w:val="18"/>
          <w:szCs w:val="18"/>
        </w:rPr>
        <w:t>Депозитария –</w:t>
      </w:r>
      <w:r w:rsidR="00DB1078" w:rsidRPr="0034407A">
        <w:rPr>
          <w:rFonts w:ascii="Arial" w:hAnsi="Arial" w:cs="Arial"/>
          <w:sz w:val="18"/>
          <w:szCs w:val="18"/>
        </w:rPr>
        <w:t xml:space="preserve"> </w:t>
      </w:r>
      <w:r w:rsidRPr="0034407A">
        <w:rPr>
          <w:rFonts w:ascii="Arial" w:hAnsi="Arial" w:cs="Arial"/>
          <w:sz w:val="18"/>
          <w:szCs w:val="18"/>
        </w:rPr>
        <w:t>корреспондента, связанные с ведением обособленных счетов</w:t>
      </w:r>
      <w:r w:rsidR="00DB1078" w:rsidRPr="0034407A">
        <w:rPr>
          <w:rFonts w:ascii="Arial" w:hAnsi="Arial" w:cs="Arial"/>
          <w:sz w:val="18"/>
          <w:szCs w:val="18"/>
        </w:rPr>
        <w:t xml:space="preserve"> МРКЦ и Депозитарии-корреспонденте.</w:t>
      </w:r>
    </w:p>
    <w:p w:rsidR="00B52563" w:rsidRPr="0034407A" w:rsidRDefault="00B52563" w:rsidP="00B52563">
      <w:pPr>
        <w:pStyle w:val="ac"/>
        <w:ind w:left="1080"/>
        <w:rPr>
          <w:rFonts w:ascii="Arial" w:hAnsi="Arial" w:cs="Arial"/>
          <w:sz w:val="18"/>
          <w:szCs w:val="18"/>
        </w:rPr>
      </w:pPr>
    </w:p>
    <w:p w:rsidR="00B52563" w:rsidRPr="0034407A" w:rsidRDefault="00B52563" w:rsidP="0051720E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Депозитарий вправ</w:t>
      </w:r>
      <w:r w:rsidR="0051720E" w:rsidRPr="0034407A">
        <w:rPr>
          <w:rFonts w:ascii="Arial" w:hAnsi="Arial" w:cs="Arial"/>
          <w:sz w:val="18"/>
          <w:szCs w:val="18"/>
        </w:rPr>
        <w:t>е после рассмотрения поручения Д</w:t>
      </w:r>
      <w:r w:rsidRPr="0034407A">
        <w:rPr>
          <w:rFonts w:ascii="Arial" w:hAnsi="Arial" w:cs="Arial"/>
          <w:sz w:val="18"/>
          <w:szCs w:val="18"/>
        </w:rPr>
        <w:t>епонента на проведение операций, указанных в пункте</w:t>
      </w:r>
      <w:r w:rsidR="00C01451" w:rsidRPr="0034407A">
        <w:rPr>
          <w:rFonts w:ascii="Arial" w:hAnsi="Arial" w:cs="Arial"/>
          <w:sz w:val="18"/>
          <w:szCs w:val="18"/>
        </w:rPr>
        <w:t xml:space="preserve"> 7.4. Тарифов</w:t>
      </w:r>
      <w:r w:rsidRPr="0034407A">
        <w:rPr>
          <w:rFonts w:ascii="Arial" w:hAnsi="Arial" w:cs="Arial"/>
          <w:sz w:val="18"/>
          <w:szCs w:val="18"/>
        </w:rPr>
        <w:t xml:space="preserve">, затребовать у </w:t>
      </w:r>
      <w:r w:rsidR="0051720E" w:rsidRPr="0034407A">
        <w:rPr>
          <w:rFonts w:ascii="Arial" w:hAnsi="Arial" w:cs="Arial"/>
          <w:sz w:val="18"/>
          <w:szCs w:val="18"/>
        </w:rPr>
        <w:t>Д</w:t>
      </w:r>
      <w:r w:rsidR="00ED182A" w:rsidRPr="0034407A">
        <w:rPr>
          <w:rFonts w:ascii="Arial" w:hAnsi="Arial" w:cs="Arial"/>
          <w:sz w:val="18"/>
          <w:szCs w:val="18"/>
        </w:rPr>
        <w:t>е</w:t>
      </w:r>
      <w:r w:rsidRPr="0034407A">
        <w:rPr>
          <w:rFonts w:ascii="Arial" w:hAnsi="Arial" w:cs="Arial"/>
          <w:sz w:val="18"/>
          <w:szCs w:val="18"/>
        </w:rPr>
        <w:t>понента следующие документы:</w:t>
      </w:r>
    </w:p>
    <w:p w:rsidR="00B52563" w:rsidRPr="0034407A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поручение на проведение операции в бумажном виде, если поручение было подано депонентом иным способом;</w:t>
      </w:r>
    </w:p>
    <w:p w:rsidR="00B52563" w:rsidRPr="0034407A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любые документы на усмотрение Депозитария, касающиеся проводимой операции, финансового положения, деятельности депонента и его контрагента.</w:t>
      </w:r>
    </w:p>
    <w:p w:rsidR="00B52563" w:rsidRPr="0034407A" w:rsidRDefault="00B52563" w:rsidP="00B52563">
      <w:pPr>
        <w:pStyle w:val="ac"/>
        <w:spacing w:after="0"/>
        <w:ind w:left="1416"/>
        <w:contextualSpacing w:val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52563" w:rsidRPr="0034407A" w:rsidRDefault="00B52563" w:rsidP="0034407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Срок исполнения Депозитарием </w:t>
      </w:r>
      <w:r w:rsidR="0051720E" w:rsidRPr="0034407A">
        <w:rPr>
          <w:rFonts w:ascii="Arial" w:hAnsi="Arial" w:cs="Arial"/>
          <w:sz w:val="18"/>
          <w:szCs w:val="18"/>
        </w:rPr>
        <w:t>поручения Д</w:t>
      </w:r>
      <w:r w:rsidRPr="0034407A">
        <w:rPr>
          <w:rFonts w:ascii="Arial" w:hAnsi="Arial" w:cs="Arial"/>
          <w:sz w:val="18"/>
          <w:szCs w:val="18"/>
        </w:rPr>
        <w:t>епонента на проведение операций, указанных в пункте</w:t>
      </w:r>
      <w:r w:rsidR="00C01451" w:rsidRPr="0034407A">
        <w:rPr>
          <w:rFonts w:ascii="Arial" w:hAnsi="Arial" w:cs="Arial"/>
          <w:sz w:val="18"/>
          <w:szCs w:val="18"/>
        </w:rPr>
        <w:t xml:space="preserve"> 7.4. Тарифов</w:t>
      </w:r>
      <w:r w:rsidRPr="0034407A">
        <w:rPr>
          <w:rFonts w:ascii="Arial" w:hAnsi="Arial" w:cs="Arial"/>
          <w:sz w:val="18"/>
          <w:szCs w:val="18"/>
        </w:rPr>
        <w:t>, увеличивается на вре</w:t>
      </w:r>
      <w:r w:rsidR="0051720E" w:rsidRPr="0034407A">
        <w:rPr>
          <w:rFonts w:ascii="Arial" w:hAnsi="Arial" w:cs="Arial"/>
          <w:sz w:val="18"/>
          <w:szCs w:val="18"/>
        </w:rPr>
        <w:t>мя рассмотрения представленных Д</w:t>
      </w:r>
      <w:r w:rsidRPr="0034407A">
        <w:rPr>
          <w:rFonts w:ascii="Arial" w:hAnsi="Arial" w:cs="Arial"/>
          <w:sz w:val="18"/>
          <w:szCs w:val="18"/>
        </w:rPr>
        <w:t>епонентом документов, при этом Депозитарий имеет право запрашивать любые дополнительные документы, касающиеся проводимой операции, финансового положения, деятельности депонента и его контрагента  любое количество раз.</w:t>
      </w:r>
    </w:p>
    <w:p w:rsidR="00B52563" w:rsidRPr="0034407A" w:rsidRDefault="00B52563" w:rsidP="00B52563">
      <w:pPr>
        <w:rPr>
          <w:rFonts w:ascii="Arial" w:hAnsi="Arial" w:cs="Arial"/>
          <w:sz w:val="18"/>
          <w:szCs w:val="18"/>
        </w:rPr>
      </w:pPr>
    </w:p>
    <w:p w:rsidR="003C6B4A" w:rsidRPr="0034407A" w:rsidRDefault="003C6B4A" w:rsidP="003C6B4A">
      <w:pPr>
        <w:jc w:val="center"/>
        <w:rPr>
          <w:rFonts w:ascii="Arial" w:hAnsi="Arial" w:cs="Arial"/>
          <w:b/>
          <w:sz w:val="18"/>
          <w:szCs w:val="18"/>
        </w:rPr>
      </w:pPr>
      <w:r w:rsidRPr="0034407A">
        <w:rPr>
          <w:rFonts w:ascii="Arial" w:hAnsi="Arial" w:cs="Arial"/>
          <w:b/>
          <w:sz w:val="18"/>
          <w:szCs w:val="18"/>
        </w:rPr>
        <w:t>Тарифы ПАО «Бест Эффортс Банк» за оказание услуг по учету НФИ</w:t>
      </w:r>
    </w:p>
    <w:p w:rsidR="003C6B4A" w:rsidRPr="0034407A" w:rsidRDefault="003C6B4A" w:rsidP="003C6B4A">
      <w:pPr>
        <w:rPr>
          <w:rFonts w:ascii="Arial" w:hAnsi="Arial" w:cs="Arial"/>
          <w:sz w:val="18"/>
          <w:szCs w:val="18"/>
        </w:rPr>
      </w:pPr>
    </w:p>
    <w:p w:rsidR="003C6B4A" w:rsidRPr="0034407A" w:rsidRDefault="003C6B4A" w:rsidP="003C6B4A">
      <w:pPr>
        <w:rPr>
          <w:rFonts w:ascii="Arial" w:hAnsi="Arial" w:cs="Arial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816"/>
        <w:gridCol w:w="5242"/>
        <w:gridCol w:w="3507"/>
      </w:tblGrid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5245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3509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Открытие Счета для учета НФИ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Ведение Счета  при наличии остатков</w:t>
            </w:r>
            <w:r w:rsidRPr="0034407A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509" w:type="dxa"/>
          </w:tcPr>
          <w:p w:rsidR="003C6B4A" w:rsidRPr="0034407A" w:rsidRDefault="005749C3" w:rsidP="005749C3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Первые шесть месяцев после зачисления НФИ на счет – без взимания комиссии, В случае нахождения остатков на счете НФИ более шести месяцев подряд - 5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>00  в месяц, не включая НДС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Выписка по Счету Депонента (по итогам операции)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Отчет о совершенной операции</w:t>
            </w:r>
          </w:p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(по итогам операции)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Предоставление информации (в т.ч. выписка/отчет о совершенной операции)  по запросу Депонента 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eastAsia="ja-JP"/>
              </w:rPr>
              <w:t xml:space="preserve">Инвентарные операции с НФИ 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C0145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Принятие  НФИ</w:t>
            </w:r>
            <w:r w:rsidR="00C01451" w:rsidRPr="0034407A">
              <w:rPr>
                <w:rFonts w:ascii="Arial" w:hAnsi="Arial" w:cs="Arial"/>
                <w:sz w:val="18"/>
                <w:szCs w:val="18"/>
              </w:rPr>
              <w:t>, не связанное с проведением корпоративных действий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509" w:type="dxa"/>
          </w:tcPr>
          <w:p w:rsidR="003C6B4A" w:rsidRPr="0034407A" w:rsidRDefault="00C01451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>00 за операцию * не включая НДС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6.2.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Снятие с учета НФИ </w:t>
            </w:r>
            <w:r w:rsidRPr="0034407A">
              <w:rPr>
                <w:rFonts w:ascii="Arial" w:eastAsia="MS Mincho" w:hAnsi="Arial" w:cs="Arial"/>
                <w:sz w:val="18"/>
                <w:szCs w:val="18"/>
              </w:rPr>
              <w:t xml:space="preserve">в целях их перевода  на счета Депонента и/или иных лиц, открытые в иностранных организациях, осуществляющих учет прав </w:t>
            </w:r>
            <w:proofErr w:type="gramStart"/>
            <w:r w:rsidRPr="0034407A">
              <w:rPr>
                <w:rFonts w:ascii="Arial" w:eastAsia="MS Mincho" w:hAnsi="Arial" w:cs="Arial"/>
                <w:sz w:val="18"/>
                <w:szCs w:val="18"/>
              </w:rPr>
              <w:t>на</w:t>
            </w:r>
            <w:proofErr w:type="gramEnd"/>
            <w:r w:rsidRPr="0034407A">
              <w:rPr>
                <w:rFonts w:ascii="Arial" w:eastAsia="MS Mincho" w:hAnsi="Arial" w:cs="Arial"/>
                <w:sz w:val="18"/>
                <w:szCs w:val="18"/>
              </w:rPr>
              <w:t xml:space="preserve"> такие НФИ</w:t>
            </w:r>
          </w:p>
        </w:tc>
        <w:tc>
          <w:tcPr>
            <w:tcW w:w="3509" w:type="dxa"/>
          </w:tcPr>
          <w:p w:rsidR="003C6B4A" w:rsidRPr="0034407A" w:rsidRDefault="00C01451" w:rsidP="00C01451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45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>0 за операцию*, не включая НДС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6.3.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Снятие с учета НФИ в целях их перевода на счет депо номинального держателя депонента, если НФИ стала квалифицироваться как ценная бумага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</w:tbl>
    <w:p w:rsidR="003C6B4A" w:rsidRPr="0034407A" w:rsidRDefault="003C6B4A" w:rsidP="003C6B4A">
      <w:pPr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lastRenderedPageBreak/>
        <w:t>*Депонент дополнительно к стоимости услуг оплачивает комиссии и сборы третьих лиц, связанные с исполнением поручения Депонента.</w:t>
      </w:r>
    </w:p>
    <w:p w:rsidR="00E66002" w:rsidRPr="0034407A" w:rsidRDefault="00E66002" w:rsidP="00E66002">
      <w:pPr>
        <w:rPr>
          <w:rFonts w:ascii="Arial" w:hAnsi="Arial" w:cs="Arial"/>
          <w:b/>
          <w:bCs/>
          <w:sz w:val="18"/>
          <w:szCs w:val="18"/>
        </w:rPr>
      </w:pPr>
    </w:p>
    <w:p w:rsidR="00E66002" w:rsidRPr="0034407A" w:rsidRDefault="00E66002" w:rsidP="00E66002">
      <w:pPr>
        <w:rPr>
          <w:rFonts w:ascii="Arial" w:hAnsi="Arial" w:cs="Arial"/>
          <w:b/>
          <w:bCs/>
          <w:sz w:val="18"/>
          <w:szCs w:val="18"/>
        </w:rPr>
      </w:pPr>
      <w:r w:rsidRPr="0034407A">
        <w:rPr>
          <w:rFonts w:ascii="Arial" w:hAnsi="Arial" w:cs="Arial"/>
          <w:b/>
          <w:bCs/>
          <w:sz w:val="18"/>
          <w:szCs w:val="18"/>
        </w:rPr>
        <w:t>Тарифы ПАО «Бест Эффортс Банк» за оказание услуг по приему и признанию формы идентификации лица при выплате дохода по иностранным ценным бумагам, попадающим под регулирование Главы 3 и Главы 4 Налогового Кодекса США (далее - Ценные бумаги эмитентов США).</w:t>
      </w:r>
      <w:r w:rsidR="00C01451" w:rsidRPr="0034407A">
        <w:rPr>
          <w:rFonts w:ascii="Arial" w:hAnsi="Arial" w:cs="Arial"/>
          <w:b/>
          <w:bCs/>
          <w:sz w:val="18"/>
          <w:szCs w:val="18"/>
        </w:rPr>
        <w:t>*</w:t>
      </w:r>
    </w:p>
    <w:p w:rsidR="00E66002" w:rsidRPr="0034407A" w:rsidRDefault="00E66002" w:rsidP="00E66002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4174"/>
        <w:gridCol w:w="1756"/>
        <w:gridCol w:w="2936"/>
      </w:tblGrid>
      <w:tr w:rsidR="00E66002" w:rsidRPr="0034407A" w:rsidTr="00E66002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C01451"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Комментарий</w:t>
            </w:r>
          </w:p>
        </w:tc>
      </w:tr>
      <w:tr w:rsidR="00E66002" w:rsidRPr="0034407A" w:rsidTr="00E6600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Прием и признание формы идентификации лица при выплате дохода по Ценным бумагам эмитентов США для физического лица резидента РФ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 за операцию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Плата взимается за каждую форму W8BEN,  которая не удовлетворяет Требованиям ПАО «Бест Эффортс Банк» к автоматизированной обработке форм идентификации лица</w:t>
            </w:r>
          </w:p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выплате дохода по ценным бумагам эмитентов США</w:t>
            </w:r>
          </w:p>
        </w:tc>
      </w:tr>
      <w:tr w:rsidR="00E66002" w:rsidRPr="0034407A" w:rsidTr="00E6600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Прием и признание формы идентификации лица при выплате дохода по Ценным бумагам эмитентов США для юридических лиц резидентов и нерезидентов РФ  и физических лиц нерезидентов РФ.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 за операцию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Плата взимается за каждую форму W8BEN ,W8BEN-E, W8EXP, W8ECI, W9, W8IMY</w:t>
            </w:r>
          </w:p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E66002" w:rsidRPr="0034407A" w:rsidRDefault="00E66002" w:rsidP="00E66002">
      <w:pPr>
        <w:rPr>
          <w:rFonts w:ascii="Arial" w:eastAsiaTheme="minorHAnsi" w:hAnsi="Arial" w:cs="Arial"/>
          <w:sz w:val="18"/>
          <w:szCs w:val="18"/>
        </w:rPr>
      </w:pPr>
    </w:p>
    <w:p w:rsidR="00E66002" w:rsidRPr="0034407A" w:rsidRDefault="00E66002" w:rsidP="00E66002">
      <w:pPr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 Услуга облагается НДС. НДС оплачивается сверх стоимости услуги в размере, установленном НК РФ</w:t>
      </w:r>
    </w:p>
    <w:p w:rsidR="0029685D" w:rsidRPr="0034407A" w:rsidRDefault="0029685D" w:rsidP="00E66002">
      <w:pPr>
        <w:rPr>
          <w:rFonts w:ascii="Arial" w:hAnsi="Arial" w:cs="Arial"/>
          <w:sz w:val="18"/>
          <w:szCs w:val="18"/>
        </w:rPr>
      </w:pPr>
    </w:p>
    <w:sectPr w:rsidR="0029685D" w:rsidRPr="0034407A" w:rsidSect="001E6C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AE" w:rsidRDefault="00E11CAE" w:rsidP="00340D39">
      <w:r>
        <w:separator/>
      </w:r>
    </w:p>
  </w:endnote>
  <w:endnote w:type="continuationSeparator" w:id="0">
    <w:p w:rsidR="00E11CAE" w:rsidRDefault="00E11CAE" w:rsidP="00340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AE" w:rsidRDefault="00E11CAE" w:rsidP="00340D39">
      <w:r>
        <w:separator/>
      </w:r>
    </w:p>
  </w:footnote>
  <w:footnote w:type="continuationSeparator" w:id="0">
    <w:p w:rsidR="00E11CAE" w:rsidRDefault="00E11CAE" w:rsidP="00340D39">
      <w:r>
        <w:continuationSeparator/>
      </w:r>
    </w:p>
  </w:footnote>
  <w:footnote w:id="1">
    <w:p w:rsidR="00340D39" w:rsidRPr="0034407A" w:rsidRDefault="00340D39" w:rsidP="00340D39">
      <w:pPr>
        <w:pStyle w:val="a3"/>
        <w:rPr>
          <w:rFonts w:ascii="Arial" w:hAnsi="Arial" w:cs="Arial"/>
          <w:sz w:val="18"/>
          <w:szCs w:val="18"/>
        </w:rPr>
      </w:pPr>
      <w:r w:rsidRPr="0034407A">
        <w:rPr>
          <w:rStyle w:val="af1"/>
          <w:rFonts w:ascii="Arial" w:hAnsi="Arial" w:cs="Arial"/>
          <w:sz w:val="18"/>
          <w:szCs w:val="18"/>
        </w:rPr>
        <w:t>[1]</w:t>
      </w:r>
      <w:r w:rsidRPr="0034407A">
        <w:rPr>
          <w:rFonts w:ascii="Arial" w:hAnsi="Arial" w:cs="Arial"/>
          <w:sz w:val="18"/>
          <w:szCs w:val="18"/>
        </w:rPr>
        <w:t xml:space="preserve"> Под типом счета / депо понимается способ учета прав на ценные бумаги, а именно счет депо: владельца, номинального держателя, доверительного управляющего, иностранного номинального держателя).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C77"/>
    <w:multiLevelType w:val="hybridMultilevel"/>
    <w:tmpl w:val="3D429072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541C7"/>
    <w:multiLevelType w:val="hybridMultilevel"/>
    <w:tmpl w:val="434C0C8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4641ACA"/>
    <w:multiLevelType w:val="hybridMultilevel"/>
    <w:tmpl w:val="E3F82AD0"/>
    <w:lvl w:ilvl="0" w:tplc="0419000D">
      <w:start w:val="1"/>
      <w:numFmt w:val="bullet"/>
      <w:lvlText w:val=""/>
      <w:lvlJc w:val="left"/>
      <w:pPr>
        <w:ind w:left="2136" w:hanging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16A94"/>
    <w:multiLevelType w:val="hybridMultilevel"/>
    <w:tmpl w:val="F6BA0242"/>
    <w:lvl w:ilvl="0" w:tplc="E8BC1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5E6"/>
    <w:rsid w:val="000452CB"/>
    <w:rsid w:val="0004754A"/>
    <w:rsid w:val="00052BFB"/>
    <w:rsid w:val="00082EFC"/>
    <w:rsid w:val="000A6477"/>
    <w:rsid w:val="00105F8C"/>
    <w:rsid w:val="00143675"/>
    <w:rsid w:val="0016299D"/>
    <w:rsid w:val="0017568D"/>
    <w:rsid w:val="00184D5D"/>
    <w:rsid w:val="001A47C7"/>
    <w:rsid w:val="001E2FBE"/>
    <w:rsid w:val="001E3C02"/>
    <w:rsid w:val="001E6C7B"/>
    <w:rsid w:val="001F53B6"/>
    <w:rsid w:val="002304B2"/>
    <w:rsid w:val="00252B85"/>
    <w:rsid w:val="00294F45"/>
    <w:rsid w:val="0029685D"/>
    <w:rsid w:val="002B1BDB"/>
    <w:rsid w:val="002C34D8"/>
    <w:rsid w:val="002D1A5C"/>
    <w:rsid w:val="002D3D65"/>
    <w:rsid w:val="002F1B4C"/>
    <w:rsid w:val="002F551E"/>
    <w:rsid w:val="00302513"/>
    <w:rsid w:val="00327BA3"/>
    <w:rsid w:val="00340D39"/>
    <w:rsid w:val="0034407A"/>
    <w:rsid w:val="00355356"/>
    <w:rsid w:val="0036480D"/>
    <w:rsid w:val="003756B4"/>
    <w:rsid w:val="003A1882"/>
    <w:rsid w:val="003A36FA"/>
    <w:rsid w:val="003A43D2"/>
    <w:rsid w:val="003A56A4"/>
    <w:rsid w:val="003A7B38"/>
    <w:rsid w:val="003C5E37"/>
    <w:rsid w:val="003C6B4A"/>
    <w:rsid w:val="003D72AD"/>
    <w:rsid w:val="003E31C5"/>
    <w:rsid w:val="004111D8"/>
    <w:rsid w:val="00426286"/>
    <w:rsid w:val="00437970"/>
    <w:rsid w:val="004433C2"/>
    <w:rsid w:val="00450DFB"/>
    <w:rsid w:val="00455EA6"/>
    <w:rsid w:val="004661CD"/>
    <w:rsid w:val="004B0411"/>
    <w:rsid w:val="004B50D9"/>
    <w:rsid w:val="004D657B"/>
    <w:rsid w:val="004E33CB"/>
    <w:rsid w:val="004F27D0"/>
    <w:rsid w:val="004F591E"/>
    <w:rsid w:val="00500353"/>
    <w:rsid w:val="00515475"/>
    <w:rsid w:val="0051720E"/>
    <w:rsid w:val="00545F92"/>
    <w:rsid w:val="005749C3"/>
    <w:rsid w:val="00587600"/>
    <w:rsid w:val="005A5380"/>
    <w:rsid w:val="006269A2"/>
    <w:rsid w:val="00642E59"/>
    <w:rsid w:val="0064757A"/>
    <w:rsid w:val="00653C88"/>
    <w:rsid w:val="00657C35"/>
    <w:rsid w:val="00660536"/>
    <w:rsid w:val="006820E9"/>
    <w:rsid w:val="006A7CEA"/>
    <w:rsid w:val="006B2857"/>
    <w:rsid w:val="006C2993"/>
    <w:rsid w:val="006F00F0"/>
    <w:rsid w:val="0071156F"/>
    <w:rsid w:val="00725AB6"/>
    <w:rsid w:val="00731B69"/>
    <w:rsid w:val="0073243F"/>
    <w:rsid w:val="00740F8E"/>
    <w:rsid w:val="007472FE"/>
    <w:rsid w:val="0076344E"/>
    <w:rsid w:val="007A7D3E"/>
    <w:rsid w:val="007C4FED"/>
    <w:rsid w:val="007F57F9"/>
    <w:rsid w:val="00822583"/>
    <w:rsid w:val="008269AA"/>
    <w:rsid w:val="008630E2"/>
    <w:rsid w:val="008B5F93"/>
    <w:rsid w:val="008E2843"/>
    <w:rsid w:val="008F36E7"/>
    <w:rsid w:val="0092540B"/>
    <w:rsid w:val="009B7A51"/>
    <w:rsid w:val="009C5F01"/>
    <w:rsid w:val="009E79C4"/>
    <w:rsid w:val="009F07A7"/>
    <w:rsid w:val="00A74749"/>
    <w:rsid w:val="00A755E1"/>
    <w:rsid w:val="00AF202C"/>
    <w:rsid w:val="00B047DA"/>
    <w:rsid w:val="00B1460C"/>
    <w:rsid w:val="00B52563"/>
    <w:rsid w:val="00BA0374"/>
    <w:rsid w:val="00BB233E"/>
    <w:rsid w:val="00BB69A6"/>
    <w:rsid w:val="00BB74ED"/>
    <w:rsid w:val="00BF1642"/>
    <w:rsid w:val="00C01451"/>
    <w:rsid w:val="00C072F8"/>
    <w:rsid w:val="00C653DF"/>
    <w:rsid w:val="00C772E2"/>
    <w:rsid w:val="00C8255A"/>
    <w:rsid w:val="00CA4DBD"/>
    <w:rsid w:val="00CD6BE1"/>
    <w:rsid w:val="00D0261D"/>
    <w:rsid w:val="00D0422E"/>
    <w:rsid w:val="00D206B5"/>
    <w:rsid w:val="00D22D79"/>
    <w:rsid w:val="00D52BD0"/>
    <w:rsid w:val="00D619DD"/>
    <w:rsid w:val="00D772D2"/>
    <w:rsid w:val="00DA7C40"/>
    <w:rsid w:val="00DB1078"/>
    <w:rsid w:val="00DB35E1"/>
    <w:rsid w:val="00DC41C0"/>
    <w:rsid w:val="00DD5D1C"/>
    <w:rsid w:val="00E11CAE"/>
    <w:rsid w:val="00E135E6"/>
    <w:rsid w:val="00E2110E"/>
    <w:rsid w:val="00E303A8"/>
    <w:rsid w:val="00E41FF8"/>
    <w:rsid w:val="00E66002"/>
    <w:rsid w:val="00E7589A"/>
    <w:rsid w:val="00EB7451"/>
    <w:rsid w:val="00EC72F8"/>
    <w:rsid w:val="00ED182A"/>
    <w:rsid w:val="00EE3FE4"/>
    <w:rsid w:val="00F10E7F"/>
    <w:rsid w:val="00F154A9"/>
    <w:rsid w:val="00F276F9"/>
    <w:rsid w:val="00F44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Îáû÷íûé"/>
    <w:uiPriority w:val="99"/>
    <w:rsid w:val="0073243F"/>
    <w:rPr>
      <w:rFonts w:ascii="Times New Roman" w:eastAsia="Times New Roman" w:hAnsi="Times New Roman" w:cs="Times New Roman"/>
    </w:rPr>
  </w:style>
  <w:style w:type="character" w:styleId="af1">
    <w:name w:val="footnote reference"/>
    <w:basedOn w:val="a0"/>
    <w:uiPriority w:val="99"/>
    <w:semiHidden/>
    <w:unhideWhenUsed/>
    <w:rsid w:val="00340D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5757-1B30-4358-80B7-828B1A97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ionova</cp:lastModifiedBy>
  <cp:revision>4</cp:revision>
  <dcterms:created xsi:type="dcterms:W3CDTF">2020-01-14T16:01:00Z</dcterms:created>
  <dcterms:modified xsi:type="dcterms:W3CDTF">2020-01-15T12:08:00Z</dcterms:modified>
</cp:coreProperties>
</file>