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0" w:rsidRPr="00F02685" w:rsidRDefault="00E03100" w:rsidP="00E03100">
      <w:pPr>
        <w:jc w:val="right"/>
        <w:rPr>
          <w:rFonts w:ascii="Arial" w:hAnsi="Arial" w:cs="Arial"/>
          <w:sz w:val="20"/>
        </w:rPr>
      </w:pPr>
      <w:r w:rsidRPr="00F02685">
        <w:rPr>
          <w:rFonts w:ascii="Arial" w:hAnsi="Arial" w:cs="Arial"/>
          <w:sz w:val="20"/>
        </w:rPr>
        <w:t>Приложение №2</w:t>
      </w:r>
    </w:p>
    <w:p w:rsidR="00E03100" w:rsidRPr="00F02685" w:rsidRDefault="00E03100" w:rsidP="00E03100">
      <w:pPr>
        <w:jc w:val="right"/>
        <w:rPr>
          <w:rFonts w:ascii="Arial" w:hAnsi="Arial" w:cs="Arial"/>
          <w:sz w:val="20"/>
        </w:rPr>
      </w:pPr>
      <w:r w:rsidRPr="00F02685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E03100" w:rsidRPr="00F02685" w:rsidRDefault="00E03100" w:rsidP="00E03100">
      <w:pPr>
        <w:jc w:val="right"/>
        <w:rPr>
          <w:rFonts w:ascii="Arial" w:hAnsi="Arial" w:cs="Arial"/>
          <w:sz w:val="20"/>
        </w:rPr>
      </w:pPr>
      <w:r w:rsidRPr="00F02685">
        <w:rPr>
          <w:rFonts w:ascii="Arial" w:hAnsi="Arial" w:cs="Arial"/>
          <w:sz w:val="20"/>
        </w:rPr>
        <w:t>«АЛОР БАНК» (ОАО)</w:t>
      </w:r>
    </w:p>
    <w:p w:rsidR="0073598F" w:rsidRPr="00F0560A" w:rsidRDefault="0073598F" w:rsidP="00556A1B">
      <w:pPr>
        <w:rPr>
          <w:rFonts w:ascii="Arial" w:hAnsi="Arial" w:cs="Arial"/>
          <w:b/>
          <w:sz w:val="20"/>
        </w:rPr>
      </w:pPr>
    </w:p>
    <w:p w:rsidR="00FF72EC" w:rsidRPr="003168ED" w:rsidRDefault="00556A1B" w:rsidP="003168ED">
      <w:pPr>
        <w:jc w:val="center"/>
        <w:rPr>
          <w:rFonts w:ascii="Arial" w:hAnsi="Arial" w:cs="Arial"/>
          <w:b/>
          <w:sz w:val="28"/>
          <w:szCs w:val="28"/>
        </w:rPr>
      </w:pPr>
      <w:r w:rsidRPr="003168ED">
        <w:rPr>
          <w:rFonts w:ascii="Arial" w:hAnsi="Arial" w:cs="Arial"/>
          <w:b/>
          <w:sz w:val="28"/>
          <w:szCs w:val="28"/>
        </w:rPr>
        <w:t xml:space="preserve">Методика оценки </w:t>
      </w:r>
      <w:r w:rsidR="0037749A" w:rsidRPr="003168ED">
        <w:rPr>
          <w:rFonts w:ascii="Arial" w:hAnsi="Arial" w:cs="Arial"/>
          <w:b/>
          <w:sz w:val="28"/>
          <w:szCs w:val="28"/>
        </w:rPr>
        <w:t>риск-параметров</w:t>
      </w:r>
      <w:r w:rsidR="003168ED" w:rsidRPr="003168ED">
        <w:rPr>
          <w:rFonts w:ascii="Arial" w:hAnsi="Arial" w:cs="Arial"/>
          <w:b/>
          <w:sz w:val="28"/>
          <w:szCs w:val="28"/>
        </w:rPr>
        <w:t>.</w:t>
      </w:r>
    </w:p>
    <w:p w:rsidR="00556A1B" w:rsidRPr="00F0560A" w:rsidRDefault="00556A1B" w:rsidP="00556A1B">
      <w:pPr>
        <w:rPr>
          <w:rFonts w:ascii="Arial" w:hAnsi="Arial" w:cs="Arial"/>
          <w:b/>
          <w:sz w:val="20"/>
        </w:rPr>
      </w:pPr>
    </w:p>
    <w:p w:rsidR="002F049F" w:rsidRPr="00F0560A" w:rsidRDefault="002F049F" w:rsidP="002F049F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0"/>
        </w:rPr>
      </w:pPr>
      <w:r w:rsidRPr="00F0560A">
        <w:rPr>
          <w:rFonts w:ascii="Arial" w:hAnsi="Arial" w:cs="Arial"/>
          <w:b/>
          <w:sz w:val="20"/>
        </w:rPr>
        <w:t xml:space="preserve"> Термины и определения.</w:t>
      </w:r>
    </w:p>
    <w:p w:rsidR="002F049F" w:rsidRPr="00F0560A" w:rsidRDefault="002F049F" w:rsidP="002F049F">
      <w:pPr>
        <w:pStyle w:val="aff0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0560A">
        <w:rPr>
          <w:rFonts w:ascii="Arial" w:hAnsi="Arial" w:cs="Arial"/>
          <w:sz w:val="20"/>
          <w:szCs w:val="20"/>
        </w:rPr>
        <w:t xml:space="preserve">В настоящей Методике используются следующие термины и определения с целью определения риск-параметров на </w:t>
      </w:r>
      <w:r w:rsidR="00E64B69" w:rsidRPr="00F0560A">
        <w:rPr>
          <w:rFonts w:ascii="Arial" w:hAnsi="Arial" w:cs="Arial"/>
          <w:sz w:val="20"/>
          <w:szCs w:val="20"/>
        </w:rPr>
        <w:t>Валютном</w:t>
      </w:r>
      <w:r w:rsidR="00F0560A" w:rsidRPr="00F0560A">
        <w:rPr>
          <w:rFonts w:ascii="Arial" w:hAnsi="Arial" w:cs="Arial"/>
          <w:sz w:val="20"/>
          <w:szCs w:val="20"/>
        </w:rPr>
        <w:t>, Срочном,</w:t>
      </w:r>
      <w:r w:rsidR="00480B2D">
        <w:rPr>
          <w:rFonts w:ascii="Arial" w:hAnsi="Arial" w:cs="Arial"/>
          <w:sz w:val="20"/>
          <w:szCs w:val="20"/>
        </w:rPr>
        <w:t xml:space="preserve"> Фондовом и</w:t>
      </w:r>
      <w:r w:rsidR="00F0560A" w:rsidRPr="00F0560A">
        <w:rPr>
          <w:rFonts w:ascii="Arial" w:hAnsi="Arial" w:cs="Arial"/>
          <w:sz w:val="20"/>
          <w:szCs w:val="20"/>
        </w:rPr>
        <w:t xml:space="preserve"> Внебиржевом рынках</w:t>
      </w:r>
      <w:r w:rsidRPr="00F0560A">
        <w:rPr>
          <w:rFonts w:ascii="Arial" w:hAnsi="Arial" w:cs="Arial"/>
          <w:sz w:val="20"/>
          <w:szCs w:val="20"/>
        </w:rPr>
        <w:t>:</w:t>
      </w:r>
    </w:p>
    <w:p w:rsidR="00104A35" w:rsidRDefault="002F049F" w:rsidP="00F0560A">
      <w:pPr>
        <w:pStyle w:val="aff0"/>
        <w:tabs>
          <w:tab w:val="clear" w:pos="851"/>
        </w:tabs>
        <w:spacing w:before="0"/>
        <w:ind w:left="993" w:firstLine="0"/>
        <w:rPr>
          <w:rFonts w:ascii="Arial" w:hAnsi="Arial" w:cs="Arial"/>
          <w:sz w:val="20"/>
          <w:szCs w:val="20"/>
        </w:rPr>
      </w:pPr>
      <w:r w:rsidRPr="00F0560A">
        <w:rPr>
          <w:rFonts w:ascii="Arial" w:hAnsi="Arial" w:cs="Arial"/>
          <w:sz w:val="20"/>
          <w:szCs w:val="20"/>
          <w:u w:val="single"/>
        </w:rPr>
        <w:t>Цена закрытия</w:t>
      </w:r>
      <w:r w:rsidR="00104A35">
        <w:rPr>
          <w:rFonts w:ascii="Arial" w:hAnsi="Arial" w:cs="Arial"/>
          <w:sz w:val="20"/>
          <w:szCs w:val="20"/>
          <w:u w:val="single"/>
        </w:rPr>
        <w:t xml:space="preserve"> на Срочном рынке</w:t>
      </w:r>
      <w:r w:rsidRPr="00F0560A">
        <w:rPr>
          <w:rFonts w:ascii="Arial" w:hAnsi="Arial" w:cs="Arial"/>
          <w:sz w:val="20"/>
          <w:szCs w:val="20"/>
        </w:rPr>
        <w:t xml:space="preserve"> </w:t>
      </w:r>
      <w:r w:rsidR="00240769">
        <w:rPr>
          <w:rFonts w:ascii="Arial" w:hAnsi="Arial" w:cs="Arial"/>
          <w:sz w:val="20"/>
          <w:szCs w:val="20"/>
        </w:rPr>
        <w:t xml:space="preserve">– </w:t>
      </w:r>
      <w:r w:rsidRPr="00F0560A">
        <w:rPr>
          <w:rFonts w:ascii="Arial" w:hAnsi="Arial" w:cs="Arial"/>
          <w:sz w:val="20"/>
          <w:szCs w:val="20"/>
        </w:rPr>
        <w:t>принимается равной</w:t>
      </w:r>
      <w:r w:rsidR="00CC795E">
        <w:rPr>
          <w:rFonts w:ascii="Arial" w:hAnsi="Arial" w:cs="Arial"/>
          <w:sz w:val="20"/>
          <w:szCs w:val="20"/>
        </w:rPr>
        <w:t xml:space="preserve"> последней расчётной цене, определённой в </w:t>
      </w:r>
      <w:r w:rsidR="003236B5">
        <w:rPr>
          <w:rFonts w:ascii="Arial" w:hAnsi="Arial" w:cs="Arial"/>
          <w:sz w:val="20"/>
          <w:szCs w:val="20"/>
        </w:rPr>
        <w:t xml:space="preserve">соответствии с </w:t>
      </w:r>
      <w:r w:rsidR="00CC795E">
        <w:rPr>
          <w:rFonts w:ascii="Arial" w:hAnsi="Arial" w:cs="Arial"/>
          <w:sz w:val="20"/>
          <w:szCs w:val="20"/>
        </w:rPr>
        <w:t>м</w:t>
      </w:r>
      <w:r w:rsidR="003236B5">
        <w:rPr>
          <w:rFonts w:ascii="Arial" w:hAnsi="Arial" w:cs="Arial"/>
          <w:sz w:val="20"/>
          <w:szCs w:val="20"/>
        </w:rPr>
        <w:t xml:space="preserve">етодикой определения расчётной цены </w:t>
      </w:r>
      <w:r w:rsidR="00BD6FE1">
        <w:rPr>
          <w:rFonts w:ascii="Arial" w:hAnsi="Arial" w:cs="Arial"/>
          <w:sz w:val="20"/>
          <w:szCs w:val="20"/>
        </w:rPr>
        <w:t>договоров, являющихся производными  финансовыми инструментами, заключаемых на Срочном рынке.</w:t>
      </w:r>
    </w:p>
    <w:p w:rsidR="002F049F" w:rsidRDefault="00104A35" w:rsidP="00F0560A">
      <w:pPr>
        <w:pStyle w:val="aff0"/>
        <w:tabs>
          <w:tab w:val="clear" w:pos="851"/>
        </w:tabs>
        <w:spacing w:before="0"/>
        <w:ind w:left="993" w:firstLine="0"/>
        <w:rPr>
          <w:rFonts w:ascii="Arial" w:hAnsi="Arial" w:cs="Arial"/>
          <w:sz w:val="20"/>
          <w:szCs w:val="20"/>
        </w:rPr>
      </w:pPr>
      <w:r w:rsidRPr="00F0560A">
        <w:rPr>
          <w:rFonts w:ascii="Arial" w:hAnsi="Arial" w:cs="Arial"/>
          <w:sz w:val="20"/>
          <w:szCs w:val="20"/>
          <w:u w:val="single"/>
        </w:rPr>
        <w:t>Цена закрытия</w:t>
      </w:r>
      <w:r>
        <w:rPr>
          <w:rFonts w:ascii="Arial" w:hAnsi="Arial" w:cs="Arial"/>
          <w:sz w:val="20"/>
          <w:szCs w:val="20"/>
          <w:u w:val="single"/>
        </w:rPr>
        <w:t xml:space="preserve"> на Валютном рынке</w:t>
      </w:r>
      <w:r w:rsidRPr="00F05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F0560A">
        <w:rPr>
          <w:rFonts w:ascii="Arial" w:hAnsi="Arial" w:cs="Arial"/>
          <w:sz w:val="20"/>
          <w:szCs w:val="20"/>
        </w:rPr>
        <w:t>принимается равной</w:t>
      </w:r>
      <w:r>
        <w:rPr>
          <w:rFonts w:ascii="Arial" w:hAnsi="Arial" w:cs="Arial"/>
          <w:sz w:val="20"/>
          <w:szCs w:val="20"/>
        </w:rPr>
        <w:t xml:space="preserve"> </w:t>
      </w:r>
      <w:r w:rsidR="00F0560A" w:rsidRPr="00F0560A">
        <w:rPr>
          <w:rFonts w:ascii="Arial" w:hAnsi="Arial" w:cs="Arial"/>
          <w:sz w:val="20"/>
          <w:szCs w:val="20"/>
        </w:rPr>
        <w:t>ц</w:t>
      </w:r>
      <w:r w:rsidR="002F049F" w:rsidRPr="00F0560A">
        <w:rPr>
          <w:rFonts w:ascii="Arial" w:hAnsi="Arial" w:cs="Arial"/>
          <w:sz w:val="20"/>
          <w:szCs w:val="20"/>
        </w:rPr>
        <w:t>ентральному курсу, определяемому из Методики определения риск-параметров валютного рынка ОАО Московская Биржа.</w:t>
      </w:r>
    </w:p>
    <w:p w:rsidR="00104A35" w:rsidRDefault="00104A35" w:rsidP="00104A35">
      <w:pPr>
        <w:pStyle w:val="aff0"/>
        <w:tabs>
          <w:tab w:val="clear" w:pos="851"/>
        </w:tabs>
        <w:spacing w:before="0"/>
        <w:ind w:left="993" w:firstLine="0"/>
        <w:rPr>
          <w:rFonts w:ascii="Arial" w:hAnsi="Arial" w:cs="Arial"/>
          <w:sz w:val="20"/>
          <w:szCs w:val="20"/>
        </w:rPr>
      </w:pPr>
      <w:r w:rsidRPr="00104A35">
        <w:rPr>
          <w:rFonts w:ascii="Arial" w:hAnsi="Arial" w:cs="Arial"/>
          <w:sz w:val="20"/>
          <w:szCs w:val="20"/>
          <w:u w:val="single"/>
        </w:rPr>
        <w:t>Цена закрытия на Фондовом рынке</w:t>
      </w:r>
      <w:r w:rsidRPr="00F44D5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F44D53">
        <w:rPr>
          <w:rFonts w:ascii="Arial" w:hAnsi="Arial" w:cs="Arial"/>
          <w:sz w:val="20"/>
          <w:szCs w:val="20"/>
        </w:rPr>
        <w:t xml:space="preserve">цена, используемая </w:t>
      </w:r>
      <w:r w:rsidRPr="00507D40">
        <w:rPr>
          <w:rFonts w:ascii="Arial" w:hAnsi="Arial" w:cs="Arial"/>
          <w:sz w:val="20"/>
        </w:rPr>
        <w:t>ЗАО АКБ «</w:t>
      </w:r>
      <w:r>
        <w:rPr>
          <w:rFonts w:ascii="Arial" w:hAnsi="Arial" w:cs="Arial"/>
          <w:sz w:val="20"/>
        </w:rPr>
        <w:t>Национальный Клиринговый Центр»</w:t>
      </w:r>
      <w:r>
        <w:rPr>
          <w:rFonts w:ascii="Arial" w:hAnsi="Arial" w:cs="Arial"/>
          <w:sz w:val="20"/>
          <w:szCs w:val="20"/>
        </w:rPr>
        <w:t xml:space="preserve"> </w:t>
      </w:r>
      <w:r w:rsidRPr="00F44D53">
        <w:rPr>
          <w:rFonts w:ascii="Arial" w:hAnsi="Arial" w:cs="Arial"/>
          <w:sz w:val="20"/>
          <w:szCs w:val="20"/>
        </w:rPr>
        <w:t>для установления значений Верхней и Нижней</w:t>
      </w:r>
      <w:r>
        <w:rPr>
          <w:rFonts w:ascii="Arial" w:hAnsi="Arial" w:cs="Arial"/>
          <w:sz w:val="20"/>
          <w:szCs w:val="20"/>
        </w:rPr>
        <w:t xml:space="preserve"> </w:t>
      </w:r>
      <w:r w:rsidRPr="00F44D53">
        <w:rPr>
          <w:rFonts w:ascii="Arial" w:hAnsi="Arial" w:cs="Arial"/>
          <w:sz w:val="20"/>
          <w:szCs w:val="20"/>
        </w:rPr>
        <w:t>границы ценового коридора, а также Верхней и Нижней границы диапазона 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F44D53">
        <w:rPr>
          <w:rFonts w:ascii="Arial" w:hAnsi="Arial" w:cs="Arial"/>
          <w:sz w:val="20"/>
          <w:szCs w:val="20"/>
        </w:rPr>
        <w:t>рыночных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F44D53">
        <w:rPr>
          <w:rFonts w:ascii="Arial" w:hAnsi="Arial" w:cs="Arial"/>
          <w:sz w:val="20"/>
          <w:szCs w:val="20"/>
        </w:rPr>
        <w:t>рисков</w:t>
      </w:r>
      <w:r>
        <w:rPr>
          <w:rFonts w:ascii="Arial" w:hAnsi="Arial" w:cs="Arial"/>
          <w:sz w:val="20"/>
          <w:szCs w:val="20"/>
        </w:rPr>
        <w:t>.</w:t>
      </w:r>
    </w:p>
    <w:p w:rsidR="00104A35" w:rsidRPr="00F0560A" w:rsidRDefault="00104A35" w:rsidP="00104A35">
      <w:pPr>
        <w:pStyle w:val="aff0"/>
        <w:tabs>
          <w:tab w:val="clear" w:pos="851"/>
        </w:tabs>
        <w:spacing w:before="0"/>
        <w:ind w:left="9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Текущая</w:t>
      </w:r>
      <w:r w:rsidRPr="00FF7325">
        <w:rPr>
          <w:rFonts w:ascii="Arial" w:hAnsi="Arial" w:cs="Arial"/>
          <w:sz w:val="20"/>
          <w:szCs w:val="20"/>
          <w:u w:val="single"/>
        </w:rPr>
        <w:t xml:space="preserve"> цена</w:t>
      </w:r>
      <w:r>
        <w:rPr>
          <w:rFonts w:ascii="Arial" w:hAnsi="Arial" w:cs="Arial"/>
          <w:sz w:val="20"/>
          <w:szCs w:val="20"/>
        </w:rPr>
        <w:t xml:space="preserve"> – цена в </w:t>
      </w:r>
      <w:r w:rsidR="000C2F62">
        <w:rPr>
          <w:rFonts w:ascii="Arial" w:hAnsi="Arial" w:cs="Arial"/>
          <w:sz w:val="20"/>
          <w:szCs w:val="20"/>
        </w:rPr>
        <w:t>режиме основных торгов</w:t>
      </w:r>
      <w:r>
        <w:rPr>
          <w:rFonts w:ascii="Arial" w:hAnsi="Arial" w:cs="Arial"/>
          <w:sz w:val="20"/>
          <w:szCs w:val="20"/>
        </w:rPr>
        <w:t xml:space="preserve"> за Ценную бумагу со сроком расчётов T+</w:t>
      </w:r>
      <w:r w:rsidRPr="000C2F62">
        <w:rPr>
          <w:rFonts w:ascii="Arial" w:hAnsi="Arial" w:cs="Arial"/>
          <w:sz w:val="20"/>
          <w:szCs w:val="20"/>
        </w:rPr>
        <w:t>2 и/или Валютный инструмент со сроком расчётами в дне T+1 (TOM).</w:t>
      </w:r>
      <w:r>
        <w:rPr>
          <w:rFonts w:ascii="Arial" w:hAnsi="Arial" w:cs="Arial"/>
          <w:sz w:val="20"/>
          <w:szCs w:val="20"/>
        </w:rPr>
        <w:t xml:space="preserve"> На конец торгового дня под Текущей ценой принимается официальные значения цен закрытия Инструментов на организаторе торгов.</w:t>
      </w:r>
    </w:p>
    <w:p w:rsidR="00104A35" w:rsidRPr="00F0560A" w:rsidRDefault="00104A35" w:rsidP="00F0560A">
      <w:pPr>
        <w:pStyle w:val="aff0"/>
        <w:tabs>
          <w:tab w:val="clear" w:pos="851"/>
        </w:tabs>
        <w:spacing w:before="0"/>
        <w:ind w:left="993" w:firstLine="0"/>
        <w:rPr>
          <w:rFonts w:ascii="Arial" w:hAnsi="Arial" w:cs="Arial"/>
          <w:sz w:val="20"/>
          <w:szCs w:val="20"/>
        </w:rPr>
      </w:pPr>
    </w:p>
    <w:p w:rsidR="002F049F" w:rsidRPr="00F0560A" w:rsidRDefault="002F049F" w:rsidP="002F049F">
      <w:pPr>
        <w:pStyle w:val="aff0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0560A">
        <w:rPr>
          <w:rFonts w:ascii="Arial" w:hAnsi="Arial" w:cs="Arial"/>
          <w:sz w:val="20"/>
          <w:szCs w:val="20"/>
        </w:rPr>
        <w:t xml:space="preserve">Термины, специально не определенные в </w:t>
      </w:r>
      <w:r w:rsidR="00431FE1">
        <w:rPr>
          <w:rFonts w:ascii="Arial" w:hAnsi="Arial" w:cs="Arial"/>
          <w:sz w:val="20"/>
          <w:szCs w:val="20"/>
        </w:rPr>
        <w:t xml:space="preserve">настоящей </w:t>
      </w:r>
      <w:r w:rsidRPr="00F0560A">
        <w:rPr>
          <w:rFonts w:ascii="Arial" w:hAnsi="Arial" w:cs="Arial"/>
          <w:sz w:val="20"/>
          <w:szCs w:val="20"/>
        </w:rPr>
        <w:t xml:space="preserve">Методике, используются в значениях, определенных </w:t>
      </w:r>
      <w:r w:rsidR="00472B5E">
        <w:rPr>
          <w:rFonts w:ascii="Arial" w:hAnsi="Arial" w:cs="Arial"/>
          <w:sz w:val="20"/>
          <w:szCs w:val="20"/>
        </w:rPr>
        <w:t xml:space="preserve">законодательством Российской Федерации, внутренними документами Банка и Систем проведения торгов. </w:t>
      </w:r>
    </w:p>
    <w:p w:rsidR="002F049F" w:rsidRPr="00F0560A" w:rsidRDefault="00C2058F" w:rsidP="002F049F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0"/>
        </w:rPr>
      </w:pPr>
      <w:r w:rsidRPr="00F0560A">
        <w:rPr>
          <w:rFonts w:ascii="Arial" w:hAnsi="Arial" w:cs="Arial"/>
          <w:b/>
          <w:sz w:val="20"/>
        </w:rPr>
        <w:t xml:space="preserve"> </w:t>
      </w:r>
      <w:r w:rsidR="002F049F" w:rsidRPr="00F0560A">
        <w:rPr>
          <w:rFonts w:ascii="Arial" w:hAnsi="Arial" w:cs="Arial"/>
          <w:b/>
          <w:sz w:val="20"/>
        </w:rPr>
        <w:t>Параметры системы управления рисками.</w:t>
      </w:r>
    </w:p>
    <w:p w:rsidR="002F049F" w:rsidRPr="00F0560A" w:rsidRDefault="002F049F" w:rsidP="002F049F">
      <w:pPr>
        <w:pStyle w:val="aff0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0560A">
        <w:rPr>
          <w:rFonts w:ascii="Arial" w:hAnsi="Arial" w:cs="Arial"/>
          <w:sz w:val="20"/>
          <w:szCs w:val="20"/>
        </w:rPr>
        <w:t xml:space="preserve">Методика содержит правила определения </w:t>
      </w:r>
      <w:r w:rsidR="00796190" w:rsidRPr="00F0560A">
        <w:rPr>
          <w:rFonts w:ascii="Arial" w:hAnsi="Arial" w:cs="Arial"/>
          <w:sz w:val="20"/>
          <w:szCs w:val="20"/>
        </w:rPr>
        <w:t>следующих</w:t>
      </w:r>
      <w:r w:rsidRPr="00F0560A">
        <w:rPr>
          <w:rFonts w:ascii="Arial" w:hAnsi="Arial" w:cs="Arial"/>
          <w:sz w:val="20"/>
          <w:szCs w:val="20"/>
        </w:rPr>
        <w:t xml:space="preserve"> риск-параметров:</w:t>
      </w:r>
    </w:p>
    <w:p w:rsidR="002F049F" w:rsidRPr="00F0560A" w:rsidRDefault="00817DBA" w:rsidP="00A24549">
      <w:pPr>
        <w:pStyle w:val="Tabo"/>
        <w:tabs>
          <w:tab w:val="num" w:pos="1418"/>
        </w:tabs>
        <w:ind w:left="156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Средства гарантийного обеспечения</w:t>
      </w:r>
      <w:r w:rsidR="002F049F" w:rsidRPr="00F0560A">
        <w:rPr>
          <w:rFonts w:ascii="Arial" w:hAnsi="Arial" w:cs="Arial"/>
          <w:sz w:val="20"/>
        </w:rPr>
        <w:t>;</w:t>
      </w:r>
    </w:p>
    <w:p w:rsidR="007A5DC0" w:rsidRDefault="002F049F" w:rsidP="00A24549">
      <w:pPr>
        <w:pStyle w:val="Tabo"/>
        <w:tabs>
          <w:tab w:val="num" w:pos="1418"/>
        </w:tabs>
        <w:ind w:left="1560" w:hanging="425"/>
        <w:rPr>
          <w:rFonts w:ascii="Arial" w:hAnsi="Arial" w:cs="Arial"/>
          <w:sz w:val="20"/>
        </w:rPr>
      </w:pPr>
      <w:r w:rsidRPr="00F0560A">
        <w:rPr>
          <w:rFonts w:ascii="Arial" w:hAnsi="Arial" w:cs="Arial"/>
          <w:sz w:val="20"/>
        </w:rPr>
        <w:t>Гарантийное обеспечение</w:t>
      </w:r>
      <w:r w:rsidRPr="00F0560A">
        <w:rPr>
          <w:rFonts w:ascii="Arial" w:hAnsi="Arial" w:cs="Arial"/>
          <w:sz w:val="20"/>
          <w:lang w:val="en-US"/>
        </w:rPr>
        <w:t>;</w:t>
      </w:r>
    </w:p>
    <w:p w:rsidR="001B014E" w:rsidRPr="00F0560A" w:rsidRDefault="001B014E" w:rsidP="00A24549">
      <w:pPr>
        <w:pStyle w:val="Tabo"/>
        <w:tabs>
          <w:tab w:val="num" w:pos="1418"/>
        </w:tabs>
        <w:ind w:left="156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Задолженность</w:t>
      </w:r>
    </w:p>
    <w:p w:rsidR="002F049F" w:rsidRPr="00F0560A" w:rsidRDefault="002F049F" w:rsidP="00A24549">
      <w:pPr>
        <w:pStyle w:val="Tabo"/>
        <w:tabs>
          <w:tab w:val="num" w:pos="1418"/>
        </w:tabs>
        <w:ind w:left="1560" w:hanging="425"/>
        <w:rPr>
          <w:rFonts w:ascii="Arial" w:hAnsi="Arial" w:cs="Arial"/>
          <w:sz w:val="20"/>
        </w:rPr>
      </w:pPr>
      <w:r w:rsidRPr="00F0560A">
        <w:rPr>
          <w:rFonts w:ascii="Arial" w:hAnsi="Arial" w:cs="Arial"/>
          <w:sz w:val="20"/>
        </w:rPr>
        <w:t>Уровень покрытия</w:t>
      </w:r>
      <w:r w:rsidR="00A24549">
        <w:rPr>
          <w:rFonts w:ascii="Arial" w:hAnsi="Arial" w:cs="Arial"/>
          <w:sz w:val="20"/>
        </w:rPr>
        <w:t>.</w:t>
      </w:r>
    </w:p>
    <w:p w:rsidR="002F049F" w:rsidRPr="00F0560A" w:rsidRDefault="00241E47" w:rsidP="002F049F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20BDA">
        <w:rPr>
          <w:rFonts w:ascii="Arial" w:hAnsi="Arial" w:cs="Arial"/>
          <w:b/>
          <w:sz w:val="20"/>
        </w:rPr>
        <w:t>Расчёт</w:t>
      </w:r>
      <w:r w:rsidR="002F049F" w:rsidRPr="00F0560A">
        <w:rPr>
          <w:rFonts w:ascii="Arial" w:hAnsi="Arial" w:cs="Arial"/>
          <w:b/>
          <w:sz w:val="20"/>
        </w:rPr>
        <w:t xml:space="preserve"> </w:t>
      </w:r>
      <w:r w:rsidR="00817DBA">
        <w:rPr>
          <w:rFonts w:ascii="Arial" w:hAnsi="Arial" w:cs="Arial"/>
          <w:b/>
          <w:sz w:val="20"/>
        </w:rPr>
        <w:t>Средств гарантийного обеспечения</w:t>
      </w:r>
      <w:r w:rsidR="002F049F" w:rsidRPr="00F0560A">
        <w:rPr>
          <w:rFonts w:ascii="Arial" w:hAnsi="Arial" w:cs="Arial"/>
          <w:b/>
          <w:sz w:val="20"/>
        </w:rPr>
        <w:t>.</w:t>
      </w:r>
    </w:p>
    <w:p w:rsidR="002F049F" w:rsidRPr="00F0560A" w:rsidRDefault="007E24CB" w:rsidP="002F049F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Средства гарантийного о</w:t>
      </w:r>
      <w:r w:rsidR="002F049F" w:rsidRPr="00F0560A">
        <w:rPr>
          <w:rFonts w:ascii="Arial" w:hAnsi="Arial" w:cs="Arial"/>
          <w:sz w:val="20"/>
        </w:rPr>
        <w:t>беспечени</w:t>
      </w:r>
      <w:r>
        <w:rPr>
          <w:rFonts w:ascii="Arial" w:hAnsi="Arial" w:cs="Arial"/>
          <w:sz w:val="20"/>
        </w:rPr>
        <w:t>я</w:t>
      </w:r>
      <w:r w:rsidR="002F049F" w:rsidRPr="00F0560A">
        <w:rPr>
          <w:rFonts w:ascii="Arial" w:hAnsi="Arial" w:cs="Arial"/>
          <w:sz w:val="20"/>
        </w:rPr>
        <w:t xml:space="preserve"> </w:t>
      </w:r>
      <w:r w:rsidR="000536E4">
        <w:rPr>
          <w:rFonts w:ascii="Arial" w:hAnsi="Arial" w:cs="Arial"/>
          <w:sz w:val="20"/>
        </w:rPr>
        <w:t xml:space="preserve">для Клиентов </w:t>
      </w:r>
      <w:r w:rsidR="0052785F">
        <w:rPr>
          <w:rFonts w:ascii="Arial" w:hAnsi="Arial" w:cs="Arial"/>
          <w:sz w:val="20"/>
        </w:rPr>
        <w:t xml:space="preserve">на </w:t>
      </w:r>
      <w:r w:rsidR="00A4192A">
        <w:rPr>
          <w:rFonts w:ascii="Arial" w:hAnsi="Arial" w:cs="Arial"/>
          <w:sz w:val="20"/>
        </w:rPr>
        <w:t xml:space="preserve"> </w:t>
      </w:r>
      <w:r w:rsidR="00A24549">
        <w:rPr>
          <w:rFonts w:ascii="Arial" w:hAnsi="Arial" w:cs="Arial"/>
          <w:sz w:val="20"/>
        </w:rPr>
        <w:t>Валютно</w:t>
      </w:r>
      <w:r w:rsidR="0052785F">
        <w:rPr>
          <w:rFonts w:ascii="Arial" w:hAnsi="Arial" w:cs="Arial"/>
          <w:sz w:val="20"/>
        </w:rPr>
        <w:t>м</w:t>
      </w:r>
      <w:r w:rsidR="00A24549">
        <w:rPr>
          <w:rFonts w:ascii="Arial" w:hAnsi="Arial" w:cs="Arial"/>
          <w:sz w:val="20"/>
        </w:rPr>
        <w:t xml:space="preserve"> </w:t>
      </w:r>
      <w:r w:rsidR="00D07E2B">
        <w:rPr>
          <w:rFonts w:ascii="Arial" w:hAnsi="Arial" w:cs="Arial"/>
          <w:sz w:val="20"/>
        </w:rPr>
        <w:t>рынк</w:t>
      </w:r>
      <w:r w:rsidR="0052785F">
        <w:rPr>
          <w:rFonts w:ascii="Arial" w:hAnsi="Arial" w:cs="Arial"/>
          <w:sz w:val="20"/>
        </w:rPr>
        <w:t>е</w:t>
      </w:r>
      <w:r w:rsidR="00D07E2B">
        <w:rPr>
          <w:rFonts w:ascii="Arial" w:hAnsi="Arial" w:cs="Arial"/>
          <w:sz w:val="20"/>
        </w:rPr>
        <w:t xml:space="preserve"> </w:t>
      </w:r>
      <w:r w:rsidR="00A24549">
        <w:rPr>
          <w:rFonts w:ascii="Arial" w:hAnsi="Arial" w:cs="Arial"/>
          <w:sz w:val="20"/>
        </w:rPr>
        <w:t>и Внебиржево</w:t>
      </w:r>
      <w:r w:rsidR="0052785F">
        <w:rPr>
          <w:rFonts w:ascii="Arial" w:hAnsi="Arial" w:cs="Arial"/>
          <w:sz w:val="20"/>
        </w:rPr>
        <w:t xml:space="preserve">м </w:t>
      </w:r>
      <w:r w:rsidR="00D07E2B">
        <w:rPr>
          <w:rFonts w:ascii="Arial" w:hAnsi="Arial" w:cs="Arial"/>
          <w:sz w:val="20"/>
        </w:rPr>
        <w:t>рынк</w:t>
      </w:r>
      <w:r w:rsidR="0052785F">
        <w:rPr>
          <w:rFonts w:ascii="Arial" w:hAnsi="Arial" w:cs="Arial"/>
          <w:sz w:val="20"/>
        </w:rPr>
        <w:t>е</w:t>
      </w:r>
      <w:r w:rsidR="00D07E2B">
        <w:rPr>
          <w:rFonts w:ascii="Arial" w:hAnsi="Arial" w:cs="Arial"/>
          <w:sz w:val="20"/>
        </w:rPr>
        <w:t xml:space="preserve"> </w:t>
      </w:r>
      <w:r w:rsidR="00E42D5B" w:rsidRPr="00F0560A">
        <w:rPr>
          <w:rFonts w:ascii="Arial" w:hAnsi="Arial" w:cs="Arial"/>
          <w:sz w:val="20"/>
        </w:rPr>
        <w:t>рассчитыва</w:t>
      </w:r>
      <w:r w:rsidR="00E42D5B">
        <w:rPr>
          <w:rFonts w:ascii="Arial" w:hAnsi="Arial" w:cs="Arial"/>
          <w:sz w:val="20"/>
        </w:rPr>
        <w:t>ю</w:t>
      </w:r>
      <w:r w:rsidR="00E42D5B" w:rsidRPr="00F0560A">
        <w:rPr>
          <w:rFonts w:ascii="Arial" w:hAnsi="Arial" w:cs="Arial"/>
          <w:sz w:val="20"/>
        </w:rPr>
        <w:t>тся</w:t>
      </w:r>
      <w:r w:rsidR="002F049F" w:rsidRPr="00F0560A">
        <w:rPr>
          <w:rFonts w:ascii="Arial" w:hAnsi="Arial" w:cs="Arial"/>
          <w:sz w:val="20"/>
        </w:rPr>
        <w:t xml:space="preserve"> по </w:t>
      </w:r>
      <w:r w:rsidR="00A4192A">
        <w:rPr>
          <w:rFonts w:ascii="Arial" w:hAnsi="Arial" w:cs="Arial"/>
          <w:sz w:val="20"/>
        </w:rPr>
        <w:t>следующей ф</w:t>
      </w:r>
      <w:r w:rsidR="002F049F" w:rsidRPr="00F0560A">
        <w:rPr>
          <w:rFonts w:ascii="Arial" w:hAnsi="Arial" w:cs="Arial"/>
          <w:sz w:val="20"/>
        </w:rPr>
        <w:t>ормуле:</w:t>
      </w:r>
    </w:p>
    <w:p w:rsidR="00120BDA" w:rsidRPr="00120BDA" w:rsidRDefault="00120BDA" w:rsidP="00A24549">
      <w:pPr>
        <w:overflowPunct/>
        <w:autoSpaceDE/>
        <w:autoSpaceDN/>
        <w:adjustRightInd/>
        <w:spacing w:before="120" w:after="120"/>
        <w:ind w:left="1000"/>
        <w:jc w:val="center"/>
        <w:textAlignment w:val="auto"/>
        <w:rPr>
          <w:rFonts w:ascii="Arial" w:hAnsi="Arial" w:cs="Arial"/>
          <w:sz w:val="20"/>
        </w:rPr>
      </w:pPr>
    </w:p>
    <w:p w:rsidR="0054426D" w:rsidRPr="00F0560A" w:rsidRDefault="0054426D" w:rsidP="00A24549">
      <w:pPr>
        <w:overflowPunct/>
        <w:autoSpaceDE/>
        <w:autoSpaceDN/>
        <w:adjustRightInd/>
        <w:spacing w:before="120" w:after="120"/>
        <w:ind w:left="1000"/>
        <w:jc w:val="center"/>
        <w:textAlignment w:val="auto"/>
        <w:rPr>
          <w:rFonts w:ascii="Arial" w:hAnsi="Arial" w:cs="Arial"/>
          <w:i/>
          <w:sz w:val="20"/>
        </w:rPr>
      </w:pPr>
      <m:oMath>
        <m:r>
          <w:rPr>
            <w:rFonts w:ascii="Cambria Math" w:hAnsi="Cambria Math" w:cs="Arial"/>
            <w:sz w:val="20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  <w:sz w:val="20"/>
              </w:rPr>
            </m:ctrlPr>
          </m:naryPr>
          <m:sub>
            <m:r>
              <w:rPr>
                <w:rFonts w:ascii="Cambria Math" w:hAnsi="Cambria Math" w:cs="Arial"/>
                <w:sz w:val="20"/>
              </w:rPr>
              <m:t>i∈L</m:t>
            </m:r>
          </m:sub>
          <m:sup/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i,0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 w:cs="Arial"/>
                    <w:sz w:val="20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 w:cs="Arial"/>
                        <w:sz w:val="2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</w:rPr>
                          <m:t>i,n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Arial"/>
                    <w:sz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i,n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 w:cs="Arial"/>
                    <w:sz w:val="20"/>
                  </w:rPr>
                  <m:t>)</m:t>
                </m:r>
              </m:e>
            </m:d>
            <m:r>
              <w:rPr>
                <w:rFonts w:ascii="Cambria Math" w:hAnsi="Cambria Math" w:cs="Arial"/>
                <w:sz w:val="20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FXRate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i</m:t>
                </m:r>
              </m:sub>
            </m:sSub>
          </m:e>
        </m:nary>
        <m:r>
          <w:rPr>
            <w:rFonts w:ascii="Cambria Math" w:hAnsi="Cambria Math" w:cs="Arial"/>
            <w:sz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</w:rPr>
            </m:ctrlPr>
          </m:sSubSupPr>
          <m:e>
            <m: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w:rPr>
                <w:rFonts w:ascii="Cambria Math" w:hAnsi="Cambria Math" w:cs="Arial"/>
                <w:sz w:val="20"/>
              </w:rPr>
              <m:t>b</m:t>
            </m:r>
          </m:sub>
          <m:sup>
            <m:r>
              <w:rPr>
                <w:rFonts w:ascii="Cambria Math" w:hAnsi="Cambria Math" w:cs="Arial"/>
                <w:sz w:val="20"/>
              </w:rPr>
              <m:t>L</m:t>
            </m:r>
          </m:sup>
        </m:sSubSup>
      </m:oMath>
      <w:r w:rsidR="00C72A75">
        <w:rPr>
          <w:rFonts w:ascii="Arial" w:hAnsi="Arial" w:cs="Arial"/>
          <w:i/>
          <w:sz w:val="20"/>
        </w:rPr>
        <w:t>,</w:t>
      </w:r>
    </w:p>
    <w:p w:rsidR="000B3020" w:rsidRDefault="000B3020" w:rsidP="002F049F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где:</w:t>
      </w:r>
    </w:p>
    <w:p w:rsidR="000B3020" w:rsidRDefault="000B3020" w:rsidP="002F049F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r>
          <w:rPr>
            <w:rFonts w:ascii="Cambria Math" w:hAnsi="Cambria Math" w:cs="Arial"/>
            <w:sz w:val="20"/>
          </w:rPr>
          <m:t>СГО</m:t>
        </m:r>
      </m:oMath>
      <w:r>
        <w:rPr>
          <w:rFonts w:ascii="Arial" w:hAnsi="Arial" w:cs="Arial"/>
          <w:i/>
          <w:sz w:val="20"/>
        </w:rPr>
        <w:t xml:space="preserve"> – </w:t>
      </w:r>
      <w:r w:rsidRPr="000B3020">
        <w:rPr>
          <w:rFonts w:ascii="Arial" w:hAnsi="Arial" w:cs="Arial"/>
          <w:sz w:val="20"/>
        </w:rPr>
        <w:t>Средства гарантийного обеспечения</w:t>
      </w:r>
      <w:r>
        <w:rPr>
          <w:rFonts w:ascii="Arial" w:hAnsi="Arial" w:cs="Arial"/>
          <w:sz w:val="20"/>
        </w:rPr>
        <w:t>;</w:t>
      </w:r>
    </w:p>
    <w:p w:rsidR="00444629" w:rsidRPr="000B3020" w:rsidRDefault="00444629" w:rsidP="002F049F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r>
          <w:rPr>
            <w:rFonts w:ascii="Cambria Math" w:hAnsi="Cambria Math" w:cs="Arial"/>
            <w:sz w:val="20"/>
          </w:rPr>
          <m:t>L</m:t>
        </m:r>
      </m:oMath>
      <w:r>
        <w:rPr>
          <w:rFonts w:ascii="Arial" w:hAnsi="Arial" w:cs="Arial"/>
          <w:sz w:val="20"/>
        </w:rPr>
        <w:t xml:space="preserve"> – количество </w:t>
      </w:r>
      <w:r w:rsidR="00E42D5B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>нструментов</w:t>
      </w:r>
      <w:r w:rsidR="00E42D5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 которым Клиент имеет </w:t>
      </w:r>
      <w:r w:rsidR="00E42D5B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ткрытые позиции;</w:t>
      </w:r>
    </w:p>
    <w:p w:rsidR="00120BDA" w:rsidRDefault="00E803B4" w:rsidP="002F049F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</w:rPr>
            </m:ctrlPr>
          </m:sSubSupPr>
          <m:e>
            <m: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w:rPr>
                <w:rFonts w:ascii="Cambria Math" w:hAnsi="Cambria Math" w:cs="Arial"/>
                <w:sz w:val="20"/>
              </w:rPr>
              <m:t>i,0</m:t>
            </m:r>
          </m:sub>
          <m:sup>
            <m:r>
              <w:rPr>
                <w:rFonts w:ascii="Cambria Math" w:hAnsi="Cambria Math" w:cs="Arial"/>
                <w:sz w:val="20"/>
              </w:rPr>
              <m:t>A</m:t>
            </m:r>
          </m:sup>
        </m:sSubSup>
      </m:oMath>
      <w:r w:rsidR="000B3020">
        <w:rPr>
          <w:rFonts w:ascii="Arial" w:hAnsi="Arial" w:cs="Arial"/>
          <w:i/>
          <w:sz w:val="20"/>
        </w:rPr>
        <w:t xml:space="preserve">– </w:t>
      </w:r>
      <w:r w:rsidR="00120BDA">
        <w:rPr>
          <w:rFonts w:ascii="Arial" w:hAnsi="Arial" w:cs="Arial"/>
          <w:sz w:val="20"/>
        </w:rPr>
        <w:t>о</w:t>
      </w:r>
      <w:r w:rsidR="00120BDA" w:rsidRPr="00120BDA">
        <w:rPr>
          <w:rFonts w:ascii="Arial" w:hAnsi="Arial" w:cs="Arial"/>
          <w:sz w:val="20"/>
        </w:rPr>
        <w:t>статок</w:t>
      </w:r>
      <w:r w:rsidR="00120BDA">
        <w:rPr>
          <w:rFonts w:ascii="Arial" w:hAnsi="Arial" w:cs="Arial"/>
          <w:sz w:val="20"/>
        </w:rPr>
        <w:t xml:space="preserve"> денежных сре</w:t>
      </w:r>
      <w:r w:rsidR="00444629">
        <w:rPr>
          <w:rFonts w:ascii="Arial" w:hAnsi="Arial" w:cs="Arial"/>
          <w:sz w:val="20"/>
        </w:rPr>
        <w:t>д</w:t>
      </w:r>
      <w:r w:rsidR="00120BDA">
        <w:rPr>
          <w:rFonts w:ascii="Arial" w:hAnsi="Arial" w:cs="Arial"/>
          <w:sz w:val="20"/>
        </w:rPr>
        <w:t>ств в единицах i-</w:t>
      </w:r>
      <w:r w:rsidR="0093212C">
        <w:rPr>
          <w:rFonts w:ascii="Arial" w:hAnsi="Arial" w:cs="Arial"/>
          <w:sz w:val="20"/>
        </w:rPr>
        <w:t>о</w:t>
      </w:r>
      <w:r w:rsidR="00120BDA">
        <w:rPr>
          <w:rFonts w:ascii="Arial" w:hAnsi="Arial" w:cs="Arial"/>
          <w:sz w:val="20"/>
        </w:rPr>
        <w:t>й валюты</w:t>
      </w:r>
      <w:r w:rsidR="00E42D5B">
        <w:rPr>
          <w:rFonts w:ascii="Arial" w:hAnsi="Arial" w:cs="Arial"/>
          <w:sz w:val="20"/>
        </w:rPr>
        <w:t>,</w:t>
      </w:r>
      <w:r w:rsidR="00120BDA">
        <w:rPr>
          <w:rFonts w:ascii="Arial" w:hAnsi="Arial" w:cs="Arial"/>
          <w:sz w:val="20"/>
        </w:rPr>
        <w:t xml:space="preserve"> учитываемых на Счётах Клиента</w:t>
      </w:r>
      <w:r w:rsidR="00E42D5B">
        <w:rPr>
          <w:rFonts w:ascii="Arial" w:hAnsi="Arial" w:cs="Arial"/>
          <w:sz w:val="20"/>
        </w:rPr>
        <w:t>,</w:t>
      </w:r>
      <w:r w:rsidR="00120BDA">
        <w:rPr>
          <w:rFonts w:ascii="Arial" w:hAnsi="Arial" w:cs="Arial"/>
          <w:sz w:val="20"/>
        </w:rPr>
        <w:t xml:space="preserve"> предназначенные для учёта операций на Валютном рынке;</w:t>
      </w:r>
    </w:p>
    <w:p w:rsidR="000B3020" w:rsidRDefault="00E803B4" w:rsidP="002F049F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</w:rPr>
            </m:ctrlPr>
          </m:sSubSupPr>
          <m:e>
            <m: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w:rPr>
                <w:rFonts w:ascii="Cambria Math" w:hAnsi="Cambria Math" w:cs="Arial"/>
                <w:sz w:val="20"/>
              </w:rPr>
              <m:t>i,n</m:t>
            </m:r>
          </m:sub>
          <m:sup>
            <m:r>
              <w:rPr>
                <w:rFonts w:ascii="Cambria Math" w:hAnsi="Cambria Math" w:cs="Arial"/>
                <w:sz w:val="20"/>
              </w:rPr>
              <m:t>A</m:t>
            </m:r>
          </m:sup>
        </m:sSubSup>
      </m:oMath>
      <w:r w:rsidR="00120BDA">
        <w:rPr>
          <w:rFonts w:ascii="Arial" w:hAnsi="Arial" w:cs="Arial"/>
          <w:sz w:val="20"/>
        </w:rPr>
        <w:t xml:space="preserve"> – сумма денежных средств в единицах i-</w:t>
      </w:r>
      <w:r w:rsidR="0093212C">
        <w:rPr>
          <w:rFonts w:ascii="Arial" w:hAnsi="Arial" w:cs="Arial"/>
          <w:sz w:val="20"/>
        </w:rPr>
        <w:t>о</w:t>
      </w:r>
      <w:r w:rsidR="00120BDA">
        <w:rPr>
          <w:rFonts w:ascii="Arial" w:hAnsi="Arial" w:cs="Arial"/>
          <w:sz w:val="20"/>
        </w:rPr>
        <w:t>й валюты, которая должна поступить на Счета Клиента предназначенные для учёта операций на Валютном рынке в результате исполнения n-го обязательства;</w:t>
      </w:r>
    </w:p>
    <w:p w:rsidR="00120BDA" w:rsidRDefault="00E803B4" w:rsidP="002F049F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</w:rPr>
            </m:ctrlPr>
          </m:sSubSupPr>
          <m:e>
            <m: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w:rPr>
                <w:rFonts w:ascii="Cambria Math" w:hAnsi="Cambria Math" w:cs="Arial"/>
                <w:sz w:val="20"/>
              </w:rPr>
              <m:t>i</m:t>
            </m:r>
          </m:sub>
          <m:sup>
            <m:r>
              <w:rPr>
                <w:rFonts w:ascii="Cambria Math" w:hAnsi="Cambria Math" w:cs="Arial"/>
                <w:sz w:val="20"/>
              </w:rPr>
              <m:t>L</m:t>
            </m:r>
          </m:sup>
        </m:sSubSup>
      </m:oMath>
      <w:r w:rsidR="00120BDA">
        <w:rPr>
          <w:rFonts w:ascii="Arial" w:hAnsi="Arial" w:cs="Arial"/>
          <w:sz w:val="20"/>
        </w:rPr>
        <w:t xml:space="preserve"> – сумма денежных обязательств в единицах i-</w:t>
      </w:r>
      <w:r w:rsidR="0093212C">
        <w:rPr>
          <w:rFonts w:ascii="Arial" w:hAnsi="Arial" w:cs="Arial"/>
          <w:sz w:val="20"/>
        </w:rPr>
        <w:t>о</w:t>
      </w:r>
      <w:r w:rsidR="00120BDA">
        <w:rPr>
          <w:rFonts w:ascii="Arial" w:hAnsi="Arial" w:cs="Arial"/>
          <w:sz w:val="20"/>
        </w:rPr>
        <w:t xml:space="preserve">й валюты, которые должны быть исполнены </w:t>
      </w:r>
      <w:r w:rsidR="00444629">
        <w:rPr>
          <w:rFonts w:ascii="Arial" w:hAnsi="Arial" w:cs="Arial"/>
          <w:sz w:val="20"/>
        </w:rPr>
        <w:t>со Счета Клиента предназначенные для учёта операций на Валютном рынке;</w:t>
      </w:r>
    </w:p>
    <w:p w:rsidR="00444629" w:rsidRDefault="00E803B4" w:rsidP="00444629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sz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,b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L</m:t>
            </m:r>
          </m:sup>
        </m:sSubSup>
      </m:oMath>
      <w:r w:rsidR="00444629">
        <w:rPr>
          <w:rFonts w:ascii="Arial" w:hAnsi="Arial" w:cs="Arial"/>
          <w:sz w:val="20"/>
        </w:rPr>
        <w:t xml:space="preserve"> – </w:t>
      </w:r>
      <w:r w:rsidR="00444629" w:rsidRPr="00444629">
        <w:rPr>
          <w:rFonts w:ascii="Arial" w:hAnsi="Arial" w:cs="Arial"/>
          <w:sz w:val="20"/>
        </w:rPr>
        <w:t xml:space="preserve">суммы вознаграждений и (или) возмещения (оплаты) расходов, на которые </w:t>
      </w:r>
      <w:r w:rsidR="00444629">
        <w:rPr>
          <w:rFonts w:ascii="Arial" w:hAnsi="Arial" w:cs="Arial"/>
          <w:sz w:val="20"/>
        </w:rPr>
        <w:t>Банк</w:t>
      </w:r>
      <w:r w:rsidR="00444629" w:rsidRPr="00444629">
        <w:rPr>
          <w:rFonts w:ascii="Arial" w:hAnsi="Arial" w:cs="Arial"/>
          <w:sz w:val="20"/>
        </w:rPr>
        <w:t xml:space="preserve"> вправе рассчитывать </w:t>
      </w:r>
      <w:r w:rsidR="00444629">
        <w:rPr>
          <w:rFonts w:ascii="Arial" w:hAnsi="Arial" w:cs="Arial"/>
          <w:sz w:val="20"/>
        </w:rPr>
        <w:t>в соответствии с Регламентом;</w:t>
      </w:r>
    </w:p>
    <w:p w:rsidR="00444629" w:rsidRDefault="00E803B4" w:rsidP="00444629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FXRate</m:t>
            </m:r>
          </m:e>
          <m:sub>
            <m:r>
              <w:rPr>
                <w:rFonts w:ascii="Cambria Math" w:hAnsi="Cambria Math" w:cs="Arial"/>
                <w:sz w:val="20"/>
              </w:rPr>
              <m:t>i</m:t>
            </m:r>
          </m:sub>
        </m:sSub>
      </m:oMath>
      <w:r w:rsidR="00444629">
        <w:rPr>
          <w:rFonts w:ascii="Arial" w:hAnsi="Arial" w:cs="Arial"/>
          <w:sz w:val="20"/>
        </w:rPr>
        <w:t xml:space="preserve"> – </w:t>
      </w:r>
      <w:r w:rsidR="00C66D33">
        <w:rPr>
          <w:rFonts w:ascii="Arial" w:hAnsi="Arial" w:cs="Arial"/>
          <w:sz w:val="20"/>
        </w:rPr>
        <w:t xml:space="preserve">Текущая цена </w:t>
      </w:r>
      <w:r w:rsidR="00444629">
        <w:rPr>
          <w:rFonts w:ascii="Arial" w:hAnsi="Arial" w:cs="Arial"/>
          <w:sz w:val="20"/>
        </w:rPr>
        <w:t xml:space="preserve"> i-й иностранной валюты к</w:t>
      </w:r>
      <w:r w:rsidR="00644620">
        <w:rPr>
          <w:rFonts w:ascii="Arial" w:hAnsi="Arial" w:cs="Arial"/>
          <w:sz w:val="20"/>
        </w:rPr>
        <w:t xml:space="preserve"> российскому </w:t>
      </w:r>
      <w:r w:rsidR="00444629">
        <w:rPr>
          <w:rFonts w:ascii="Arial" w:hAnsi="Arial" w:cs="Arial"/>
          <w:sz w:val="20"/>
        </w:rPr>
        <w:t xml:space="preserve"> рублю, с расчётами «завтра». Если i-</w:t>
      </w:r>
      <w:r w:rsidR="0093212C">
        <w:rPr>
          <w:rFonts w:ascii="Arial" w:hAnsi="Arial" w:cs="Arial"/>
          <w:sz w:val="20"/>
        </w:rPr>
        <w:t>о</w:t>
      </w:r>
      <w:r w:rsidR="00444629">
        <w:rPr>
          <w:rFonts w:ascii="Arial" w:hAnsi="Arial" w:cs="Arial"/>
          <w:sz w:val="20"/>
        </w:rPr>
        <w:t xml:space="preserve">й валютой является рубль, значение показателя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FXRate</m:t>
            </m:r>
          </m:e>
          <m:sub>
            <m:r>
              <w:rPr>
                <w:rFonts w:ascii="Cambria Math" w:hAnsi="Cambria Math" w:cs="Arial"/>
                <w:sz w:val="20"/>
              </w:rPr>
              <m:t>i</m:t>
            </m:r>
          </m:sub>
        </m:sSub>
      </m:oMath>
      <w:r w:rsidR="00444629">
        <w:rPr>
          <w:rFonts w:ascii="Arial" w:hAnsi="Arial" w:cs="Arial"/>
          <w:sz w:val="20"/>
        </w:rPr>
        <w:t xml:space="preserve"> принимается равным 1.</w:t>
      </w:r>
    </w:p>
    <w:p w:rsidR="00444629" w:rsidRPr="00120BDA" w:rsidRDefault="00444629" w:rsidP="002F049F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</w:p>
    <w:p w:rsidR="00A24549" w:rsidRDefault="007E24CB" w:rsidP="00A24549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Средства гарантийного о</w:t>
      </w:r>
      <w:r w:rsidR="00A24549">
        <w:rPr>
          <w:rFonts w:ascii="Arial" w:hAnsi="Arial" w:cs="Arial"/>
          <w:sz w:val="20"/>
        </w:rPr>
        <w:t>беспечени</w:t>
      </w:r>
      <w:r>
        <w:rPr>
          <w:rFonts w:ascii="Arial" w:hAnsi="Arial" w:cs="Arial"/>
          <w:sz w:val="20"/>
        </w:rPr>
        <w:t>я</w:t>
      </w:r>
      <w:r w:rsidR="003759F5">
        <w:rPr>
          <w:rFonts w:ascii="Arial" w:hAnsi="Arial" w:cs="Arial"/>
          <w:sz w:val="20"/>
        </w:rPr>
        <w:t xml:space="preserve"> Клиент</w:t>
      </w:r>
      <w:r w:rsidR="00A24549">
        <w:rPr>
          <w:rFonts w:ascii="Arial" w:hAnsi="Arial" w:cs="Arial"/>
          <w:sz w:val="20"/>
        </w:rPr>
        <w:t xml:space="preserve"> на Срочном рынке </w:t>
      </w:r>
      <w:r w:rsidR="003759F5">
        <w:rPr>
          <w:rFonts w:ascii="Arial" w:hAnsi="Arial" w:cs="Arial"/>
          <w:sz w:val="20"/>
        </w:rPr>
        <w:t>рассчитываются</w:t>
      </w:r>
      <w:r w:rsidR="00A24549">
        <w:rPr>
          <w:rFonts w:ascii="Arial" w:hAnsi="Arial" w:cs="Arial"/>
          <w:sz w:val="20"/>
        </w:rPr>
        <w:t xml:space="preserve"> как сумма </w:t>
      </w:r>
      <w:r w:rsidR="003759F5">
        <w:rPr>
          <w:rFonts w:ascii="Arial" w:hAnsi="Arial" w:cs="Arial"/>
          <w:sz w:val="20"/>
        </w:rPr>
        <w:t xml:space="preserve">российских </w:t>
      </w:r>
      <w:r w:rsidR="00A24549">
        <w:rPr>
          <w:rFonts w:ascii="Arial" w:hAnsi="Arial" w:cs="Arial"/>
          <w:sz w:val="20"/>
        </w:rPr>
        <w:t>рублей, учитываемых на Счёте Клиента</w:t>
      </w:r>
      <w:r w:rsidR="003759F5">
        <w:rPr>
          <w:rFonts w:ascii="Arial" w:hAnsi="Arial" w:cs="Arial"/>
          <w:sz w:val="20"/>
        </w:rPr>
        <w:t>,</w:t>
      </w:r>
      <w:r w:rsidR="00A24549">
        <w:rPr>
          <w:rFonts w:ascii="Arial" w:hAnsi="Arial" w:cs="Arial"/>
          <w:sz w:val="20"/>
        </w:rPr>
        <w:t xml:space="preserve"> предназначенном для учёта обязательств по Срочному рынку.</w:t>
      </w:r>
    </w:p>
    <w:p w:rsidR="00104A35" w:rsidRDefault="00104A35" w:rsidP="00A24549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 w:rsidRPr="00104A35">
        <w:rPr>
          <w:rFonts w:ascii="Arial" w:hAnsi="Arial" w:cs="Arial"/>
          <w:sz w:val="20"/>
        </w:rPr>
        <w:t>Средства гарантийного обеспечения</w:t>
      </w:r>
      <w:r w:rsidR="003759F5">
        <w:rPr>
          <w:rFonts w:ascii="Arial" w:hAnsi="Arial" w:cs="Arial"/>
          <w:sz w:val="20"/>
        </w:rPr>
        <w:t xml:space="preserve"> Клиента</w:t>
      </w:r>
      <w:r w:rsidR="00C72A75">
        <w:rPr>
          <w:rFonts w:ascii="Arial" w:hAnsi="Arial" w:cs="Arial"/>
          <w:sz w:val="20"/>
        </w:rPr>
        <w:t xml:space="preserve">, чьи позиции </w:t>
      </w:r>
      <w:r w:rsidR="00F14E31">
        <w:rPr>
          <w:rFonts w:ascii="Arial" w:hAnsi="Arial" w:cs="Arial"/>
          <w:sz w:val="20"/>
        </w:rPr>
        <w:t xml:space="preserve">не </w:t>
      </w:r>
      <w:r w:rsidR="00C72A75">
        <w:rPr>
          <w:rFonts w:ascii="Arial" w:hAnsi="Arial" w:cs="Arial"/>
          <w:sz w:val="20"/>
        </w:rPr>
        <w:t xml:space="preserve">учитываются в рамках Обособленного расчетного кода, </w:t>
      </w:r>
      <w:r w:rsidR="003759F5">
        <w:rPr>
          <w:rFonts w:ascii="Arial" w:hAnsi="Arial" w:cs="Arial"/>
          <w:sz w:val="20"/>
        </w:rPr>
        <w:t xml:space="preserve"> </w:t>
      </w:r>
      <w:r w:rsidRPr="00104A35">
        <w:rPr>
          <w:rFonts w:ascii="Arial" w:hAnsi="Arial" w:cs="Arial"/>
          <w:sz w:val="20"/>
        </w:rPr>
        <w:t>на Фондовом рынке</w:t>
      </w:r>
      <w:r w:rsidR="00D07E2B">
        <w:rPr>
          <w:rFonts w:ascii="Arial" w:hAnsi="Arial" w:cs="Arial"/>
          <w:sz w:val="20"/>
        </w:rPr>
        <w:t xml:space="preserve"> и Внебиржевом рынке </w:t>
      </w:r>
      <w:r w:rsidRPr="00104A35">
        <w:rPr>
          <w:rFonts w:ascii="Arial" w:hAnsi="Arial" w:cs="Arial"/>
          <w:sz w:val="20"/>
        </w:rPr>
        <w:t>рассчитыва</w:t>
      </w:r>
      <w:r w:rsidR="00C72A75">
        <w:rPr>
          <w:rFonts w:ascii="Arial" w:hAnsi="Arial" w:cs="Arial"/>
          <w:sz w:val="20"/>
        </w:rPr>
        <w:t>ю</w:t>
      </w:r>
      <w:r w:rsidRPr="00104A35">
        <w:rPr>
          <w:rFonts w:ascii="Arial" w:hAnsi="Arial" w:cs="Arial"/>
          <w:sz w:val="20"/>
        </w:rPr>
        <w:t xml:space="preserve">тся </w:t>
      </w:r>
      <w:r w:rsidR="0072681A">
        <w:rPr>
          <w:rFonts w:ascii="Arial" w:hAnsi="Arial" w:cs="Arial"/>
          <w:sz w:val="20"/>
        </w:rPr>
        <w:t>по следующей формуле:</w:t>
      </w:r>
    </w:p>
    <w:p w:rsidR="0072681A" w:rsidRPr="0072681A" w:rsidRDefault="0072681A" w:rsidP="0072681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i/>
          <w:sz w:val="20"/>
        </w:rPr>
      </w:pPr>
      <m:oMath>
        <m:r>
          <w:rPr>
            <w:rFonts w:ascii="Cambria Math" w:hAnsi="Cambria Math" w:cs="Arial"/>
            <w:sz w:val="20"/>
          </w:rPr>
          <m:t>СГО=RUR+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  <w:sz w:val="20"/>
              </w:rPr>
            </m:ctrlPr>
          </m:naryPr>
          <m:sub>
            <m:r>
              <w:rPr>
                <w:rFonts w:ascii="Cambria Math" w:hAnsi="Cambria Math" w:cs="Arial"/>
                <w:sz w:val="20"/>
              </w:rPr>
              <m:t>i∈L</m:t>
            </m:r>
          </m:sub>
          <m:sup/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i,0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 w:cs="Arial"/>
                    <w:sz w:val="20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 w:cs="Arial"/>
                        <w:sz w:val="2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</w:rPr>
                          <m:t>i,n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Arial"/>
                    <w:sz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i,</m:t>
                    </m:r>
                    <m:r>
                      <w:rPr>
                        <w:rFonts w:ascii="Cambria Math" w:hAnsi="Cambria Math" w:cs="Arial"/>
                        <w:sz w:val="20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 w:cs="Arial"/>
                    <w:sz w:val="20"/>
                  </w:rPr>
                  <m:t>)</m:t>
                </m:r>
              </m:e>
            </m:d>
            <m:r>
              <w:rPr>
                <w:rFonts w:ascii="Cambria Math" w:hAnsi="Cambria Math" w:cs="Arial"/>
                <w:sz w:val="20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</w:rPr>
                      <m:t>i,j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</w:rPr>
                  <m:t>*FXRate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0"/>
              </w:rPr>
              <m:t>-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b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L</m:t>
                </m:r>
              </m:sup>
            </m:sSubSup>
          </m:e>
        </m:nary>
      </m:oMath>
      <w:r w:rsidR="00C72A75">
        <w:rPr>
          <w:rFonts w:ascii="Arial" w:hAnsi="Arial" w:cs="Arial"/>
          <w:i/>
          <w:sz w:val="20"/>
        </w:rPr>
        <w:t>,</w:t>
      </w:r>
    </w:p>
    <w:p w:rsidR="0072681A" w:rsidRPr="0072681A" w:rsidRDefault="0072681A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w:r w:rsidRPr="0072681A">
        <w:rPr>
          <w:rFonts w:ascii="Arial" w:hAnsi="Arial" w:cs="Arial"/>
          <w:sz w:val="20"/>
        </w:rPr>
        <w:t>где:</w:t>
      </w:r>
    </w:p>
    <w:p w:rsidR="0072681A" w:rsidRDefault="0072681A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</w:rPr>
          <m:t>СГО</m:t>
        </m:r>
      </m:oMath>
      <w:r w:rsidRPr="0072681A">
        <w:rPr>
          <w:rFonts w:ascii="Arial" w:hAnsi="Arial" w:cs="Arial"/>
          <w:sz w:val="20"/>
        </w:rPr>
        <w:t xml:space="preserve"> – Средства гарантийного обеспечения;</w:t>
      </w:r>
    </w:p>
    <w:p w:rsidR="0093212C" w:rsidRPr="0072681A" w:rsidRDefault="0093212C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r>
          <w:rPr>
            <w:rFonts w:ascii="Cambria Math" w:hAnsi="Cambria Math" w:cs="Arial"/>
            <w:sz w:val="20"/>
          </w:rPr>
          <m:t>RUR</m:t>
        </m:r>
      </m:oMath>
      <w:r>
        <w:rPr>
          <w:rFonts w:ascii="Arial" w:hAnsi="Arial" w:cs="Arial"/>
          <w:sz w:val="20"/>
        </w:rPr>
        <w:t xml:space="preserve"> –</w:t>
      </w:r>
      <w:r w:rsidR="00C72A75">
        <w:rPr>
          <w:rFonts w:ascii="Arial" w:hAnsi="Arial" w:cs="Arial"/>
          <w:sz w:val="20"/>
        </w:rPr>
        <w:t xml:space="preserve"> российские рубли,</w:t>
      </w:r>
      <w:r>
        <w:rPr>
          <w:rFonts w:ascii="Arial" w:hAnsi="Arial" w:cs="Arial"/>
          <w:sz w:val="20"/>
        </w:rPr>
        <w:t xml:space="preserve"> учитываемых на Счёте </w:t>
      </w:r>
      <w:r w:rsidRPr="0072681A">
        <w:rPr>
          <w:rFonts w:ascii="Arial" w:hAnsi="Arial" w:cs="Arial"/>
          <w:sz w:val="20"/>
        </w:rPr>
        <w:t>Клиента</w:t>
      </w:r>
      <w:r>
        <w:rPr>
          <w:rFonts w:ascii="Arial" w:hAnsi="Arial" w:cs="Arial"/>
          <w:sz w:val="20"/>
        </w:rPr>
        <w:t>,</w:t>
      </w:r>
      <w:r w:rsidRPr="0072681A">
        <w:rPr>
          <w:rFonts w:ascii="Arial" w:hAnsi="Arial" w:cs="Arial"/>
          <w:sz w:val="20"/>
        </w:rPr>
        <w:t xml:space="preserve"> предназначенн</w:t>
      </w:r>
      <w:r>
        <w:rPr>
          <w:rFonts w:ascii="Arial" w:hAnsi="Arial" w:cs="Arial"/>
          <w:sz w:val="20"/>
        </w:rPr>
        <w:t>ом</w:t>
      </w:r>
      <w:r w:rsidRPr="0072681A">
        <w:rPr>
          <w:rFonts w:ascii="Arial" w:hAnsi="Arial" w:cs="Arial"/>
          <w:sz w:val="20"/>
        </w:rPr>
        <w:t xml:space="preserve"> для учёта операций на </w:t>
      </w:r>
      <w:r>
        <w:rPr>
          <w:rFonts w:ascii="Arial" w:hAnsi="Arial" w:cs="Arial"/>
          <w:sz w:val="20"/>
        </w:rPr>
        <w:t>Фондовом</w:t>
      </w:r>
      <w:r w:rsidRPr="0072681A">
        <w:rPr>
          <w:rFonts w:ascii="Arial" w:hAnsi="Arial" w:cs="Arial"/>
          <w:sz w:val="20"/>
        </w:rPr>
        <w:t xml:space="preserve"> рын</w:t>
      </w:r>
      <w:bookmarkStart w:id="0" w:name="_GoBack"/>
      <w:bookmarkEnd w:id="0"/>
      <w:r w:rsidRPr="0072681A">
        <w:rPr>
          <w:rFonts w:ascii="Arial" w:hAnsi="Arial" w:cs="Arial"/>
          <w:sz w:val="20"/>
        </w:rPr>
        <w:t>ке</w:t>
      </w:r>
      <w:r>
        <w:rPr>
          <w:rFonts w:ascii="Arial" w:hAnsi="Arial" w:cs="Arial"/>
          <w:sz w:val="20"/>
        </w:rPr>
        <w:t>;</w:t>
      </w:r>
    </w:p>
    <w:p w:rsidR="0072681A" w:rsidRPr="0072681A" w:rsidRDefault="0072681A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</w:rPr>
          <m:t>L</m:t>
        </m:r>
      </m:oMath>
      <w:r w:rsidRPr="0072681A">
        <w:rPr>
          <w:rFonts w:ascii="Arial" w:hAnsi="Arial" w:cs="Arial"/>
          <w:sz w:val="20"/>
        </w:rPr>
        <w:t xml:space="preserve"> – количество </w:t>
      </w:r>
      <w:r w:rsidR="0093212C">
        <w:rPr>
          <w:rFonts w:ascii="Arial" w:hAnsi="Arial" w:cs="Arial"/>
          <w:sz w:val="20"/>
        </w:rPr>
        <w:t>Ценных бумаг</w:t>
      </w:r>
      <w:r w:rsidR="008F2D14">
        <w:rPr>
          <w:rFonts w:ascii="Arial" w:hAnsi="Arial" w:cs="Arial"/>
          <w:sz w:val="20"/>
        </w:rPr>
        <w:t>,</w:t>
      </w:r>
      <w:r w:rsidRPr="0072681A">
        <w:rPr>
          <w:rFonts w:ascii="Arial" w:hAnsi="Arial" w:cs="Arial"/>
          <w:sz w:val="20"/>
        </w:rPr>
        <w:t xml:space="preserve"> по которым Клиент имеет </w:t>
      </w:r>
      <w:r w:rsidR="008F2D14">
        <w:rPr>
          <w:rFonts w:ascii="Arial" w:hAnsi="Arial" w:cs="Arial"/>
          <w:sz w:val="20"/>
        </w:rPr>
        <w:t>О</w:t>
      </w:r>
      <w:r w:rsidRPr="0072681A">
        <w:rPr>
          <w:rFonts w:ascii="Arial" w:hAnsi="Arial" w:cs="Arial"/>
          <w:sz w:val="20"/>
        </w:rPr>
        <w:t>ткрытые позиции;</w:t>
      </w:r>
    </w:p>
    <w:p w:rsidR="0072681A" w:rsidRPr="0072681A" w:rsidRDefault="00E803B4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sz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i,0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A</m:t>
            </m:r>
          </m:sup>
        </m:sSubSup>
      </m:oMath>
      <w:r w:rsidR="0072681A" w:rsidRPr="0072681A">
        <w:rPr>
          <w:rFonts w:ascii="Arial" w:hAnsi="Arial" w:cs="Arial"/>
          <w:sz w:val="20"/>
        </w:rPr>
        <w:t xml:space="preserve">– остаток </w:t>
      </w:r>
      <w:r w:rsidR="0093212C">
        <w:rPr>
          <w:rFonts w:ascii="Arial" w:hAnsi="Arial" w:cs="Arial"/>
          <w:sz w:val="20"/>
        </w:rPr>
        <w:t>i-ых Ценных бумаг</w:t>
      </w:r>
      <w:r w:rsidR="008F2D14">
        <w:rPr>
          <w:rFonts w:ascii="Arial" w:hAnsi="Arial" w:cs="Arial"/>
          <w:sz w:val="20"/>
        </w:rPr>
        <w:t>,</w:t>
      </w:r>
      <w:r w:rsidR="0072681A" w:rsidRPr="0072681A">
        <w:rPr>
          <w:rFonts w:ascii="Arial" w:hAnsi="Arial" w:cs="Arial"/>
          <w:sz w:val="20"/>
        </w:rPr>
        <w:t xml:space="preserve"> учитываемых на Счёт</w:t>
      </w:r>
      <w:r w:rsidR="0093212C">
        <w:rPr>
          <w:rFonts w:ascii="Arial" w:hAnsi="Arial" w:cs="Arial"/>
          <w:sz w:val="20"/>
        </w:rPr>
        <w:t xml:space="preserve">е </w:t>
      </w:r>
      <w:r w:rsidR="008F2D14">
        <w:rPr>
          <w:rFonts w:ascii="Arial" w:hAnsi="Arial" w:cs="Arial"/>
          <w:sz w:val="20"/>
        </w:rPr>
        <w:t>д</w:t>
      </w:r>
      <w:r w:rsidR="0093212C">
        <w:rPr>
          <w:rFonts w:ascii="Arial" w:hAnsi="Arial" w:cs="Arial"/>
          <w:sz w:val="20"/>
        </w:rPr>
        <w:t>епо</w:t>
      </w:r>
      <w:r w:rsidR="0072681A" w:rsidRPr="0072681A">
        <w:rPr>
          <w:rFonts w:ascii="Arial" w:hAnsi="Arial" w:cs="Arial"/>
          <w:sz w:val="20"/>
        </w:rPr>
        <w:t xml:space="preserve"> Клиента</w:t>
      </w:r>
      <w:r w:rsidR="008F2D14">
        <w:rPr>
          <w:rFonts w:ascii="Arial" w:hAnsi="Arial" w:cs="Arial"/>
          <w:sz w:val="20"/>
        </w:rPr>
        <w:t>,</w:t>
      </w:r>
      <w:r w:rsidR="0072681A" w:rsidRPr="0072681A">
        <w:rPr>
          <w:rFonts w:ascii="Arial" w:hAnsi="Arial" w:cs="Arial"/>
          <w:sz w:val="20"/>
        </w:rPr>
        <w:t xml:space="preserve"> предназначенн</w:t>
      </w:r>
      <w:r w:rsidR="0093212C">
        <w:rPr>
          <w:rFonts w:ascii="Arial" w:hAnsi="Arial" w:cs="Arial"/>
          <w:sz w:val="20"/>
        </w:rPr>
        <w:t>ом</w:t>
      </w:r>
      <w:r w:rsidR="0072681A" w:rsidRPr="0072681A">
        <w:rPr>
          <w:rFonts w:ascii="Arial" w:hAnsi="Arial" w:cs="Arial"/>
          <w:sz w:val="20"/>
        </w:rPr>
        <w:t xml:space="preserve"> для учёта </w:t>
      </w:r>
      <w:r w:rsidR="008F2D14">
        <w:rPr>
          <w:rFonts w:ascii="Arial" w:hAnsi="Arial" w:cs="Arial"/>
          <w:sz w:val="20"/>
        </w:rPr>
        <w:t>ц</w:t>
      </w:r>
      <w:r w:rsidR="0093212C">
        <w:rPr>
          <w:rFonts w:ascii="Arial" w:hAnsi="Arial" w:cs="Arial"/>
          <w:sz w:val="20"/>
        </w:rPr>
        <w:t xml:space="preserve">енных бумаг для операций </w:t>
      </w:r>
      <w:r w:rsidR="0072681A" w:rsidRPr="0072681A">
        <w:rPr>
          <w:rFonts w:ascii="Arial" w:hAnsi="Arial" w:cs="Arial"/>
          <w:sz w:val="20"/>
        </w:rPr>
        <w:t xml:space="preserve">на </w:t>
      </w:r>
      <w:r w:rsidR="0093212C">
        <w:rPr>
          <w:rFonts w:ascii="Arial" w:hAnsi="Arial" w:cs="Arial"/>
          <w:sz w:val="20"/>
        </w:rPr>
        <w:t>Фондовом</w:t>
      </w:r>
      <w:r w:rsidR="0072681A" w:rsidRPr="0072681A">
        <w:rPr>
          <w:rFonts w:ascii="Arial" w:hAnsi="Arial" w:cs="Arial"/>
          <w:sz w:val="20"/>
        </w:rPr>
        <w:t xml:space="preserve"> рынке;</w:t>
      </w:r>
    </w:p>
    <w:p w:rsidR="0072681A" w:rsidRPr="0072681A" w:rsidRDefault="00E803B4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sz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i,n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A</m:t>
            </m:r>
          </m:sup>
        </m:sSubSup>
      </m:oMath>
      <w:r w:rsidR="0072681A" w:rsidRPr="0072681A">
        <w:rPr>
          <w:rFonts w:ascii="Arial" w:hAnsi="Arial" w:cs="Arial"/>
          <w:sz w:val="20"/>
        </w:rPr>
        <w:t xml:space="preserve"> – </w:t>
      </w:r>
      <w:r w:rsidR="0093212C">
        <w:rPr>
          <w:rFonts w:ascii="Arial" w:hAnsi="Arial" w:cs="Arial"/>
          <w:sz w:val="20"/>
        </w:rPr>
        <w:t>количество i-ых Ценных бумаг</w:t>
      </w:r>
      <w:r w:rsidR="0072681A" w:rsidRPr="0072681A">
        <w:rPr>
          <w:rFonts w:ascii="Arial" w:hAnsi="Arial" w:cs="Arial"/>
          <w:sz w:val="20"/>
        </w:rPr>
        <w:t>, котор</w:t>
      </w:r>
      <w:r w:rsidR="0093212C">
        <w:rPr>
          <w:rFonts w:ascii="Arial" w:hAnsi="Arial" w:cs="Arial"/>
          <w:sz w:val="20"/>
        </w:rPr>
        <w:t>ые</w:t>
      </w:r>
      <w:r w:rsidR="0072681A" w:rsidRPr="0072681A">
        <w:rPr>
          <w:rFonts w:ascii="Arial" w:hAnsi="Arial" w:cs="Arial"/>
          <w:sz w:val="20"/>
        </w:rPr>
        <w:t xml:space="preserve"> должн</w:t>
      </w:r>
      <w:r w:rsidR="0093212C">
        <w:rPr>
          <w:rFonts w:ascii="Arial" w:hAnsi="Arial" w:cs="Arial"/>
          <w:sz w:val="20"/>
        </w:rPr>
        <w:t>ы</w:t>
      </w:r>
      <w:r w:rsidR="0072681A" w:rsidRPr="0072681A">
        <w:rPr>
          <w:rFonts w:ascii="Arial" w:hAnsi="Arial" w:cs="Arial"/>
          <w:sz w:val="20"/>
        </w:rPr>
        <w:t xml:space="preserve"> поступить на Счет</w:t>
      </w:r>
      <w:r w:rsidR="0093212C">
        <w:rPr>
          <w:rFonts w:ascii="Arial" w:hAnsi="Arial" w:cs="Arial"/>
          <w:sz w:val="20"/>
        </w:rPr>
        <w:t xml:space="preserve"> </w:t>
      </w:r>
      <w:r w:rsidR="008F2D14">
        <w:rPr>
          <w:rFonts w:ascii="Arial" w:hAnsi="Arial" w:cs="Arial"/>
          <w:sz w:val="20"/>
        </w:rPr>
        <w:t>д</w:t>
      </w:r>
      <w:r w:rsidR="0093212C">
        <w:rPr>
          <w:rFonts w:ascii="Arial" w:hAnsi="Arial" w:cs="Arial"/>
          <w:sz w:val="20"/>
        </w:rPr>
        <w:t>епо</w:t>
      </w:r>
      <w:r w:rsidR="0072681A" w:rsidRPr="0072681A">
        <w:rPr>
          <w:rFonts w:ascii="Arial" w:hAnsi="Arial" w:cs="Arial"/>
          <w:sz w:val="20"/>
        </w:rPr>
        <w:t xml:space="preserve"> Клиента</w:t>
      </w:r>
      <w:r w:rsidR="008F2D14">
        <w:rPr>
          <w:rFonts w:ascii="Arial" w:hAnsi="Arial" w:cs="Arial"/>
          <w:sz w:val="20"/>
        </w:rPr>
        <w:t>,</w:t>
      </w:r>
      <w:r w:rsidR="0072681A" w:rsidRPr="0072681A">
        <w:rPr>
          <w:rFonts w:ascii="Arial" w:hAnsi="Arial" w:cs="Arial"/>
          <w:sz w:val="20"/>
        </w:rPr>
        <w:t xml:space="preserve"> предназначенн</w:t>
      </w:r>
      <w:r w:rsidR="0093212C">
        <w:rPr>
          <w:rFonts w:ascii="Arial" w:hAnsi="Arial" w:cs="Arial"/>
          <w:sz w:val="20"/>
        </w:rPr>
        <w:t>ом</w:t>
      </w:r>
      <w:r w:rsidR="0072681A" w:rsidRPr="0072681A">
        <w:rPr>
          <w:rFonts w:ascii="Arial" w:hAnsi="Arial" w:cs="Arial"/>
          <w:sz w:val="20"/>
        </w:rPr>
        <w:t xml:space="preserve"> для учёта операций на </w:t>
      </w:r>
      <w:r w:rsidR="0093212C">
        <w:rPr>
          <w:rFonts w:ascii="Arial" w:hAnsi="Arial" w:cs="Arial"/>
          <w:sz w:val="20"/>
        </w:rPr>
        <w:t>Фондовом</w:t>
      </w:r>
      <w:r w:rsidR="0072681A" w:rsidRPr="0072681A">
        <w:rPr>
          <w:rFonts w:ascii="Arial" w:hAnsi="Arial" w:cs="Arial"/>
          <w:sz w:val="20"/>
        </w:rPr>
        <w:t xml:space="preserve"> рынке в результате исполнения n-го обязательства;</w:t>
      </w:r>
    </w:p>
    <w:p w:rsidR="0072681A" w:rsidRPr="0072681A" w:rsidRDefault="00E803B4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sz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L</m:t>
            </m:r>
          </m:sup>
        </m:sSubSup>
      </m:oMath>
      <w:r w:rsidR="0072681A" w:rsidRPr="0072681A">
        <w:rPr>
          <w:rFonts w:ascii="Arial" w:hAnsi="Arial" w:cs="Arial"/>
          <w:sz w:val="20"/>
        </w:rPr>
        <w:t xml:space="preserve"> – </w:t>
      </w:r>
      <w:r w:rsidR="0093212C">
        <w:rPr>
          <w:rFonts w:ascii="Arial" w:hAnsi="Arial" w:cs="Arial"/>
          <w:sz w:val="20"/>
        </w:rPr>
        <w:t xml:space="preserve">количество i-ых Ценных </w:t>
      </w:r>
      <w:r w:rsidR="0072681A" w:rsidRPr="0072681A">
        <w:rPr>
          <w:rFonts w:ascii="Arial" w:hAnsi="Arial" w:cs="Arial"/>
          <w:sz w:val="20"/>
        </w:rPr>
        <w:t xml:space="preserve"> </w:t>
      </w:r>
      <w:r w:rsidR="0093212C">
        <w:rPr>
          <w:rFonts w:ascii="Arial" w:hAnsi="Arial" w:cs="Arial"/>
          <w:sz w:val="20"/>
        </w:rPr>
        <w:t>бумаг (в штуках), являющихся предметом обязательств которые должны быть исполнены со Счёт</w:t>
      </w:r>
      <w:r w:rsidR="00C671F7">
        <w:rPr>
          <w:rFonts w:ascii="Arial" w:hAnsi="Arial" w:cs="Arial"/>
          <w:sz w:val="20"/>
        </w:rPr>
        <w:t>а</w:t>
      </w:r>
      <w:r w:rsidR="0093212C">
        <w:rPr>
          <w:rFonts w:ascii="Arial" w:hAnsi="Arial" w:cs="Arial"/>
          <w:sz w:val="20"/>
        </w:rPr>
        <w:t xml:space="preserve"> </w:t>
      </w:r>
      <w:r w:rsidR="008F2D14">
        <w:rPr>
          <w:rFonts w:ascii="Arial" w:hAnsi="Arial" w:cs="Arial"/>
          <w:sz w:val="20"/>
        </w:rPr>
        <w:t>д</w:t>
      </w:r>
      <w:r w:rsidR="0093212C">
        <w:rPr>
          <w:rFonts w:ascii="Arial" w:hAnsi="Arial" w:cs="Arial"/>
          <w:sz w:val="20"/>
        </w:rPr>
        <w:t>епо Клиента</w:t>
      </w:r>
      <w:r w:rsidR="008F2D14">
        <w:rPr>
          <w:rFonts w:ascii="Arial" w:hAnsi="Arial" w:cs="Arial"/>
          <w:sz w:val="20"/>
        </w:rPr>
        <w:t>,</w:t>
      </w:r>
      <w:r w:rsidR="0093212C">
        <w:rPr>
          <w:rFonts w:ascii="Arial" w:hAnsi="Arial" w:cs="Arial"/>
          <w:sz w:val="20"/>
        </w:rPr>
        <w:t xml:space="preserve"> </w:t>
      </w:r>
      <w:r w:rsidR="0093212C" w:rsidRPr="0072681A">
        <w:rPr>
          <w:rFonts w:ascii="Arial" w:hAnsi="Arial" w:cs="Arial"/>
          <w:sz w:val="20"/>
        </w:rPr>
        <w:t>предназначенн</w:t>
      </w:r>
      <w:r w:rsidR="0093212C">
        <w:rPr>
          <w:rFonts w:ascii="Arial" w:hAnsi="Arial" w:cs="Arial"/>
          <w:sz w:val="20"/>
        </w:rPr>
        <w:t>ом</w:t>
      </w:r>
      <w:r w:rsidR="0093212C" w:rsidRPr="0072681A">
        <w:rPr>
          <w:rFonts w:ascii="Arial" w:hAnsi="Arial" w:cs="Arial"/>
          <w:sz w:val="20"/>
        </w:rPr>
        <w:t xml:space="preserve"> для учёта </w:t>
      </w:r>
      <w:r w:rsidR="008F2D14">
        <w:rPr>
          <w:rFonts w:ascii="Arial" w:hAnsi="Arial" w:cs="Arial"/>
          <w:sz w:val="20"/>
        </w:rPr>
        <w:t>ц</w:t>
      </w:r>
      <w:r w:rsidR="0093212C">
        <w:rPr>
          <w:rFonts w:ascii="Arial" w:hAnsi="Arial" w:cs="Arial"/>
          <w:sz w:val="20"/>
        </w:rPr>
        <w:t xml:space="preserve">енных бумаг для операций </w:t>
      </w:r>
      <w:r w:rsidR="0093212C" w:rsidRPr="0072681A">
        <w:rPr>
          <w:rFonts w:ascii="Arial" w:hAnsi="Arial" w:cs="Arial"/>
          <w:sz w:val="20"/>
        </w:rPr>
        <w:t xml:space="preserve">на </w:t>
      </w:r>
      <w:r w:rsidR="0093212C">
        <w:rPr>
          <w:rFonts w:ascii="Arial" w:hAnsi="Arial" w:cs="Arial"/>
          <w:sz w:val="20"/>
        </w:rPr>
        <w:t>Фондовом</w:t>
      </w:r>
      <w:r w:rsidR="0093212C" w:rsidRPr="0072681A">
        <w:rPr>
          <w:rFonts w:ascii="Arial" w:hAnsi="Arial" w:cs="Arial"/>
          <w:sz w:val="20"/>
        </w:rPr>
        <w:t xml:space="preserve"> рынке</w:t>
      </w:r>
      <w:r w:rsidR="0072681A" w:rsidRPr="0072681A">
        <w:rPr>
          <w:rFonts w:ascii="Arial" w:hAnsi="Arial" w:cs="Arial"/>
          <w:sz w:val="20"/>
        </w:rPr>
        <w:t>;</w:t>
      </w:r>
    </w:p>
    <w:p w:rsidR="0072681A" w:rsidRDefault="00E803B4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Sup>
          <m:sSubSupPr>
            <m:ctrlPr>
              <w:rPr>
                <w:rFonts w:ascii="Cambria Math" w:hAnsi="Cambria Math" w:cs="Arial"/>
                <w:sz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L</m:t>
            </m:r>
          </m:sup>
        </m:sSubSup>
      </m:oMath>
      <w:r w:rsidR="0072681A" w:rsidRPr="0072681A">
        <w:rPr>
          <w:rFonts w:ascii="Arial" w:hAnsi="Arial" w:cs="Arial"/>
          <w:sz w:val="20"/>
        </w:rPr>
        <w:t xml:space="preserve"> – суммы вознаграждений и (или) возмещения (оплаты) расходов</w:t>
      </w:r>
      <w:r w:rsidR="008F2D14">
        <w:rPr>
          <w:rFonts w:ascii="Arial" w:hAnsi="Arial" w:cs="Arial"/>
          <w:sz w:val="20"/>
        </w:rPr>
        <w:t>,</w:t>
      </w:r>
      <w:r w:rsidR="0072681A" w:rsidRPr="0072681A">
        <w:rPr>
          <w:rFonts w:ascii="Arial" w:hAnsi="Arial" w:cs="Arial"/>
          <w:sz w:val="20"/>
        </w:rPr>
        <w:t xml:space="preserve"> на которые Банк вправе рассчитывать в соответствии с Регламентом;</w:t>
      </w:r>
    </w:p>
    <w:p w:rsidR="00602464" w:rsidRPr="0072681A" w:rsidRDefault="00E803B4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</w:rPr>
              <m:t>i,j</m:t>
            </m:r>
          </m:sub>
        </m:sSub>
      </m:oMath>
      <w:r w:rsidR="00602464">
        <w:rPr>
          <w:rFonts w:ascii="Arial" w:hAnsi="Arial" w:cs="Arial"/>
          <w:sz w:val="20"/>
        </w:rPr>
        <w:t xml:space="preserve"> – цена </w:t>
      </w:r>
      <w:r w:rsidR="00602464" w:rsidRPr="000C2F62">
        <w:rPr>
          <w:rFonts w:ascii="Arial" w:hAnsi="Arial" w:cs="Arial"/>
          <w:sz w:val="20"/>
        </w:rPr>
        <w:t xml:space="preserve">одной </w:t>
      </w:r>
      <w:r w:rsidR="00644620" w:rsidRPr="000C2F62">
        <w:rPr>
          <w:rFonts w:ascii="Arial" w:hAnsi="Arial" w:cs="Arial"/>
          <w:sz w:val="20"/>
          <w:lang w:val="en-GB"/>
        </w:rPr>
        <w:t>i</w:t>
      </w:r>
      <w:r w:rsidR="00644620" w:rsidRPr="000C2F62">
        <w:rPr>
          <w:rFonts w:ascii="Arial" w:hAnsi="Arial" w:cs="Arial"/>
          <w:sz w:val="20"/>
        </w:rPr>
        <w:t>-ой ц</w:t>
      </w:r>
      <w:r w:rsidR="00602464" w:rsidRPr="000C2F62">
        <w:rPr>
          <w:rFonts w:ascii="Arial" w:hAnsi="Arial" w:cs="Arial"/>
          <w:sz w:val="20"/>
        </w:rPr>
        <w:t>енной</w:t>
      </w:r>
      <w:r w:rsidR="00602464">
        <w:rPr>
          <w:rFonts w:ascii="Arial" w:hAnsi="Arial" w:cs="Arial"/>
          <w:sz w:val="20"/>
        </w:rPr>
        <w:t xml:space="preserve"> бумаги, выраженная в единицах j-й валюты, рассчитанная по </w:t>
      </w:r>
      <w:r w:rsidR="00C66D33">
        <w:rPr>
          <w:rFonts w:ascii="Arial" w:hAnsi="Arial" w:cs="Arial"/>
          <w:sz w:val="20"/>
        </w:rPr>
        <w:t>Ц</w:t>
      </w:r>
      <w:r w:rsidR="00602464">
        <w:rPr>
          <w:rFonts w:ascii="Arial" w:hAnsi="Arial" w:cs="Arial"/>
          <w:sz w:val="20"/>
        </w:rPr>
        <w:t>ене закрытия на фондовом рынке;</w:t>
      </w:r>
    </w:p>
    <w:p w:rsidR="0072681A" w:rsidRDefault="00E803B4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hAnsi="Cambria Math" w:cs="Arial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i</m:t>
            </m:r>
          </m:sub>
        </m:sSub>
      </m:oMath>
      <w:r w:rsidR="0072681A" w:rsidRPr="0072681A">
        <w:rPr>
          <w:rFonts w:ascii="Arial" w:hAnsi="Arial" w:cs="Arial"/>
          <w:sz w:val="20"/>
        </w:rPr>
        <w:t xml:space="preserve"> – </w:t>
      </w:r>
      <w:r w:rsidR="000C2F62">
        <w:rPr>
          <w:rFonts w:ascii="Arial" w:hAnsi="Arial" w:cs="Arial"/>
          <w:sz w:val="20"/>
        </w:rPr>
        <w:t>Текущая цена</w:t>
      </w:r>
      <w:r w:rsidR="0072681A" w:rsidRPr="0072681A">
        <w:rPr>
          <w:rFonts w:ascii="Arial" w:hAnsi="Arial" w:cs="Arial"/>
          <w:sz w:val="20"/>
        </w:rPr>
        <w:t xml:space="preserve"> i-й иностранной валюты к </w:t>
      </w:r>
      <w:r w:rsidR="00644620">
        <w:rPr>
          <w:rFonts w:ascii="Arial" w:hAnsi="Arial" w:cs="Arial"/>
          <w:sz w:val="20"/>
        </w:rPr>
        <w:t xml:space="preserve">российскому </w:t>
      </w:r>
      <w:r w:rsidR="0072681A" w:rsidRPr="0072681A">
        <w:rPr>
          <w:rFonts w:ascii="Arial" w:hAnsi="Arial" w:cs="Arial"/>
          <w:sz w:val="20"/>
        </w:rPr>
        <w:t xml:space="preserve">рублю, с расчётами «завтра». Если i-й валютой является рубль, значение показателя </w:t>
      </w:r>
      <m:oMath>
        <m:sSub>
          <m:sSubPr>
            <m:ctrlPr>
              <w:rPr>
                <w:rFonts w:ascii="Cambria Math" w:hAnsi="Cambria Math" w:cs="Arial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i</m:t>
            </m:r>
          </m:sub>
        </m:sSub>
      </m:oMath>
      <w:r w:rsidR="0072681A" w:rsidRPr="0072681A">
        <w:rPr>
          <w:rFonts w:ascii="Arial" w:hAnsi="Arial" w:cs="Arial"/>
          <w:sz w:val="20"/>
        </w:rPr>
        <w:t xml:space="preserve"> принимается равным 1.</w:t>
      </w:r>
    </w:p>
    <w:p w:rsidR="00F14E31" w:rsidRDefault="00F14E31" w:rsidP="00602464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 w:rsidRPr="00104A35">
        <w:rPr>
          <w:rFonts w:ascii="Arial" w:hAnsi="Arial" w:cs="Arial"/>
          <w:sz w:val="20"/>
        </w:rPr>
        <w:t>Средства гарантийного обеспечения</w:t>
      </w:r>
      <w:r>
        <w:rPr>
          <w:rFonts w:ascii="Arial" w:hAnsi="Arial" w:cs="Arial"/>
          <w:sz w:val="20"/>
        </w:rPr>
        <w:t xml:space="preserve"> Клиента, чьи позиции учитываются в рамках Обособленного расчетного кода,  </w:t>
      </w:r>
      <w:r w:rsidRPr="00104A35">
        <w:rPr>
          <w:rFonts w:ascii="Arial" w:hAnsi="Arial" w:cs="Arial"/>
          <w:sz w:val="20"/>
        </w:rPr>
        <w:t>на Фондовом рынке</w:t>
      </w:r>
      <w:r>
        <w:rPr>
          <w:rFonts w:ascii="Arial" w:hAnsi="Arial" w:cs="Arial"/>
          <w:sz w:val="20"/>
        </w:rPr>
        <w:t xml:space="preserve"> и Внебиржевом рынке</w:t>
      </w:r>
      <w:r w:rsidRPr="00F14E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рассчитываю</w:t>
      </w:r>
      <w:r w:rsidRPr="00104A35">
        <w:rPr>
          <w:rFonts w:ascii="Arial" w:hAnsi="Arial" w:cs="Arial"/>
          <w:sz w:val="20"/>
        </w:rPr>
        <w:t xml:space="preserve">тся </w:t>
      </w:r>
      <w:r w:rsidRPr="00AF3121">
        <w:rPr>
          <w:rFonts w:ascii="Arial" w:hAnsi="Arial" w:cs="Arial"/>
          <w:sz w:val="20"/>
        </w:rPr>
        <w:t>по методике ЗАО АКБ «Национальный Клиринговый Центр».</w:t>
      </w:r>
    </w:p>
    <w:p w:rsidR="0072681A" w:rsidRDefault="0072681A" w:rsidP="0072681A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</w:p>
    <w:p w:rsidR="00F0662F" w:rsidRPr="00F0662F" w:rsidRDefault="003C33A6" w:rsidP="00F0662F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20BDA">
        <w:rPr>
          <w:rFonts w:ascii="Arial" w:hAnsi="Arial" w:cs="Arial"/>
          <w:b/>
          <w:sz w:val="20"/>
        </w:rPr>
        <w:t xml:space="preserve">Расчёт величины </w:t>
      </w:r>
      <w:r w:rsidR="00F0662F">
        <w:rPr>
          <w:rFonts w:ascii="Arial" w:hAnsi="Arial" w:cs="Arial"/>
          <w:b/>
          <w:sz w:val="20"/>
        </w:rPr>
        <w:t>Гарантийного обеспечения.</w:t>
      </w:r>
    </w:p>
    <w:p w:rsidR="00D96ECF" w:rsidRDefault="00DD245C" w:rsidP="00DD245C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Величина Гарантийного обеспечения на Срочном рынке по Брокерской Фирме и/или Клиринговым регистрам рассчитывается Банком исходя из размера Базового гарантийного обеспечения</w:t>
      </w:r>
      <w:r w:rsidR="0016107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рассчитываемого по каждому </w:t>
      </w:r>
      <w:r w:rsidR="00161079">
        <w:rPr>
          <w:rFonts w:ascii="Arial" w:hAnsi="Arial" w:cs="Arial"/>
          <w:sz w:val="20"/>
        </w:rPr>
        <w:t xml:space="preserve">договору, являющемуся производным финансовым инструментом, </w:t>
      </w:r>
      <w:r>
        <w:rPr>
          <w:rFonts w:ascii="Arial" w:hAnsi="Arial" w:cs="Arial"/>
          <w:sz w:val="20"/>
        </w:rPr>
        <w:t xml:space="preserve"> в разрезе Клиринговых регистров и/или Брокерских фирм в соответствии с </w:t>
      </w:r>
      <w:r w:rsidR="00161079">
        <w:rPr>
          <w:rFonts w:ascii="Arial" w:hAnsi="Arial" w:cs="Arial"/>
          <w:sz w:val="20"/>
        </w:rPr>
        <w:t xml:space="preserve">внутренними документами </w:t>
      </w:r>
      <w:r w:rsidR="00F075D4">
        <w:rPr>
          <w:rFonts w:ascii="Arial" w:hAnsi="Arial" w:cs="Arial"/>
          <w:sz w:val="20"/>
        </w:rPr>
        <w:t xml:space="preserve">организацией, оказывающих клиринговые услуги в </w:t>
      </w:r>
      <w:r w:rsidR="00161079">
        <w:rPr>
          <w:rFonts w:ascii="Arial" w:hAnsi="Arial" w:cs="Arial"/>
          <w:sz w:val="20"/>
        </w:rPr>
        <w:t>Систем</w:t>
      </w:r>
      <w:r w:rsidR="00F075D4">
        <w:rPr>
          <w:rFonts w:ascii="Arial" w:hAnsi="Arial" w:cs="Arial"/>
          <w:sz w:val="20"/>
        </w:rPr>
        <w:t>ах</w:t>
      </w:r>
      <w:r w:rsidR="00161079">
        <w:rPr>
          <w:rFonts w:ascii="Arial" w:hAnsi="Arial" w:cs="Arial"/>
          <w:sz w:val="20"/>
        </w:rPr>
        <w:t xml:space="preserve"> проведения торгов.</w:t>
      </w:r>
    </w:p>
    <w:p w:rsidR="00DD245C" w:rsidRPr="000C2F62" w:rsidRDefault="006044F8" w:rsidP="00DD245C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 w:rsidRPr="006044F8">
        <w:rPr>
          <w:rFonts w:ascii="Arial" w:hAnsi="Arial" w:cs="Arial"/>
          <w:sz w:val="20"/>
        </w:rPr>
        <w:t xml:space="preserve">Величина Гарантийного обеспечения на </w:t>
      </w:r>
      <w:r w:rsidRPr="00DF1CFE">
        <w:rPr>
          <w:rFonts w:ascii="Arial" w:hAnsi="Arial" w:cs="Arial"/>
          <w:sz w:val="20"/>
        </w:rPr>
        <w:t xml:space="preserve">Фондовом рынке ОАО «Санкт-Петербургская Биржа» </w:t>
      </w:r>
      <w:r w:rsidRPr="006044F8">
        <w:rPr>
          <w:rFonts w:ascii="Arial" w:hAnsi="Arial" w:cs="Arial"/>
          <w:sz w:val="20"/>
        </w:rPr>
        <w:t>по ТКС и/или Клиринговым регистрам рассчитывается Банком по методике Открытое акционерное общество "Клиринговый центр МФБ".</w:t>
      </w:r>
      <w:r w:rsidR="00DD245C" w:rsidRPr="000C2F62">
        <w:rPr>
          <w:rFonts w:ascii="Arial" w:hAnsi="Arial" w:cs="Arial"/>
          <w:sz w:val="20"/>
        </w:rPr>
        <w:t>Общий размер Гарантийного обеспечения предъявляемая в разрезе Счёта Клиента открытого в рамках одного типа Инвестиционного счёта равна сумме Гарантийного обеспечения по Брокерским фирмам Клиента</w:t>
      </w:r>
      <w:r w:rsidR="00DF1CFE">
        <w:rPr>
          <w:rFonts w:ascii="Arial" w:hAnsi="Arial" w:cs="Arial"/>
          <w:sz w:val="20"/>
        </w:rPr>
        <w:t>/ТКС</w:t>
      </w:r>
      <w:r w:rsidR="00DD245C" w:rsidRPr="000C2F62">
        <w:rPr>
          <w:rFonts w:ascii="Arial" w:hAnsi="Arial" w:cs="Arial"/>
          <w:sz w:val="20"/>
        </w:rPr>
        <w:t xml:space="preserve"> (в случае если данные Брокерские фирмы</w:t>
      </w:r>
      <w:r w:rsidR="00DF1CFE">
        <w:rPr>
          <w:rFonts w:ascii="Arial" w:hAnsi="Arial" w:cs="Arial"/>
          <w:sz w:val="20"/>
        </w:rPr>
        <w:t>/ТКС</w:t>
      </w:r>
      <w:r w:rsidR="00DD245C" w:rsidRPr="000C2F62">
        <w:rPr>
          <w:rFonts w:ascii="Arial" w:hAnsi="Arial" w:cs="Arial"/>
          <w:sz w:val="20"/>
        </w:rPr>
        <w:t xml:space="preserve"> привязаны к одному Счёту Клиента одного Инвестиционного счёта) и/или сумме Гарантийного обеспечения по Клиринговым регистрам Клиента (в случае если данные Клиринговые регистры привязаны к тому же Счёту клиента что и Брокерская фирма</w:t>
      </w:r>
      <w:r w:rsidR="00DF1CFE">
        <w:rPr>
          <w:rFonts w:ascii="Arial" w:hAnsi="Arial" w:cs="Arial"/>
          <w:sz w:val="20"/>
        </w:rPr>
        <w:t>/ТКС</w:t>
      </w:r>
      <w:r w:rsidR="00DD245C" w:rsidRPr="000C2F62">
        <w:rPr>
          <w:rFonts w:ascii="Arial" w:hAnsi="Arial" w:cs="Arial"/>
          <w:sz w:val="20"/>
        </w:rPr>
        <w:t>).</w:t>
      </w:r>
    </w:p>
    <w:p w:rsidR="00E41C98" w:rsidRDefault="00B43843" w:rsidP="00DC1CF3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Банк </w:t>
      </w:r>
      <w:r w:rsidR="0022530E">
        <w:rPr>
          <w:rFonts w:ascii="Arial" w:hAnsi="Arial" w:cs="Arial"/>
          <w:sz w:val="20"/>
        </w:rPr>
        <w:t>вправе</w:t>
      </w:r>
      <w:r>
        <w:rPr>
          <w:rFonts w:ascii="Arial" w:hAnsi="Arial" w:cs="Arial"/>
          <w:sz w:val="20"/>
        </w:rPr>
        <w:t xml:space="preserve"> предоставить услугу «Пониженное гарантийное обеспечение» на Сро</w:t>
      </w:r>
      <w:r w:rsidR="000F2EA8">
        <w:rPr>
          <w:rFonts w:ascii="Arial" w:hAnsi="Arial" w:cs="Arial"/>
          <w:sz w:val="20"/>
        </w:rPr>
        <w:t>чном рынке</w:t>
      </w:r>
      <w:r w:rsidR="007B38CA">
        <w:rPr>
          <w:rFonts w:ascii="Arial" w:hAnsi="Arial" w:cs="Arial"/>
          <w:sz w:val="20"/>
        </w:rPr>
        <w:t>,</w:t>
      </w:r>
      <w:r w:rsidR="000F2EA8">
        <w:rPr>
          <w:rFonts w:ascii="Arial" w:hAnsi="Arial" w:cs="Arial"/>
          <w:sz w:val="20"/>
        </w:rPr>
        <w:t xml:space="preserve"> </w:t>
      </w:r>
      <w:r w:rsidR="00BC0109">
        <w:rPr>
          <w:rFonts w:ascii="Arial" w:hAnsi="Arial" w:cs="Arial"/>
          <w:sz w:val="20"/>
        </w:rPr>
        <w:t xml:space="preserve">которая выражается в </w:t>
      </w:r>
      <w:r w:rsidR="007B38CA">
        <w:rPr>
          <w:rFonts w:ascii="Arial" w:hAnsi="Arial" w:cs="Arial"/>
          <w:sz w:val="20"/>
        </w:rPr>
        <w:t xml:space="preserve">расчёте Банком величины Гарантийного обеспечения исходя из уменьшенного размера Базового гарантийного обеспечения </w:t>
      </w:r>
      <w:r w:rsidR="00E41C98">
        <w:rPr>
          <w:rFonts w:ascii="Arial" w:hAnsi="Arial" w:cs="Arial"/>
          <w:sz w:val="20"/>
        </w:rPr>
        <w:t xml:space="preserve"> и </w:t>
      </w:r>
      <w:r w:rsidR="007B38CA">
        <w:rPr>
          <w:rFonts w:ascii="Arial" w:hAnsi="Arial" w:cs="Arial"/>
          <w:sz w:val="20"/>
        </w:rPr>
        <w:t xml:space="preserve">одновременного </w:t>
      </w:r>
      <w:r w:rsidR="00E41C98">
        <w:rPr>
          <w:rFonts w:ascii="Arial" w:hAnsi="Arial" w:cs="Arial"/>
          <w:sz w:val="20"/>
        </w:rPr>
        <w:t>повышенного мониторинга уровня рисков Клиента по Клиринговым регистрам</w:t>
      </w:r>
      <w:r>
        <w:rPr>
          <w:rFonts w:ascii="Arial" w:hAnsi="Arial" w:cs="Arial"/>
          <w:sz w:val="20"/>
        </w:rPr>
        <w:t xml:space="preserve">. </w:t>
      </w:r>
      <w:r w:rsidR="00FF5F74">
        <w:rPr>
          <w:rFonts w:ascii="Arial" w:hAnsi="Arial" w:cs="Arial"/>
          <w:sz w:val="20"/>
        </w:rPr>
        <w:t xml:space="preserve">Размер уменьшения Базового размера гарантийного обеспечения определяется Банком и Клиентом отдельно. </w:t>
      </w:r>
      <w:r>
        <w:rPr>
          <w:rFonts w:ascii="Arial" w:hAnsi="Arial" w:cs="Arial"/>
          <w:sz w:val="20"/>
        </w:rPr>
        <w:lastRenderedPageBreak/>
        <w:t xml:space="preserve">При этом </w:t>
      </w:r>
      <w:r w:rsidR="00E41C98">
        <w:rPr>
          <w:rFonts w:ascii="Arial" w:hAnsi="Arial" w:cs="Arial"/>
          <w:sz w:val="20"/>
        </w:rPr>
        <w:t>Клиент согласен, что на основании п. 1</w:t>
      </w:r>
      <w:r w:rsidR="00D96ECF">
        <w:rPr>
          <w:rFonts w:ascii="Arial" w:hAnsi="Arial" w:cs="Arial"/>
          <w:sz w:val="20"/>
        </w:rPr>
        <w:t>8</w:t>
      </w:r>
      <w:r w:rsidR="00E41C98">
        <w:rPr>
          <w:rFonts w:ascii="Arial" w:hAnsi="Arial" w:cs="Arial"/>
          <w:sz w:val="20"/>
        </w:rPr>
        <w:t>.4 Регламента</w:t>
      </w:r>
      <w:r w:rsidR="000F2EA8">
        <w:rPr>
          <w:rFonts w:ascii="Arial" w:hAnsi="Arial" w:cs="Arial"/>
          <w:sz w:val="20"/>
        </w:rPr>
        <w:t>,</w:t>
      </w:r>
      <w:r w:rsidR="00E41C98">
        <w:rPr>
          <w:rFonts w:ascii="Arial" w:hAnsi="Arial" w:cs="Arial"/>
          <w:sz w:val="20"/>
        </w:rPr>
        <w:t xml:space="preserve"> Банк будет выставлять требования по пополнению Средств гарантийного обеспечения в сроки</w:t>
      </w:r>
      <w:r w:rsidR="00B77374">
        <w:rPr>
          <w:rFonts w:ascii="Arial" w:hAnsi="Arial" w:cs="Arial"/>
          <w:sz w:val="20"/>
        </w:rPr>
        <w:t>,</w:t>
      </w:r>
      <w:r w:rsidR="00EA7429">
        <w:rPr>
          <w:rFonts w:ascii="Arial" w:hAnsi="Arial" w:cs="Arial"/>
          <w:sz w:val="20"/>
        </w:rPr>
        <w:t xml:space="preserve"> отличные от п.1</w:t>
      </w:r>
      <w:r w:rsidR="003C041A">
        <w:rPr>
          <w:rFonts w:ascii="Arial" w:hAnsi="Arial" w:cs="Arial"/>
          <w:sz w:val="20"/>
        </w:rPr>
        <w:t>8</w:t>
      </w:r>
      <w:r w:rsidR="00EA7429">
        <w:rPr>
          <w:rFonts w:ascii="Arial" w:hAnsi="Arial" w:cs="Arial"/>
          <w:sz w:val="20"/>
        </w:rPr>
        <w:t>.2.1 и 1</w:t>
      </w:r>
      <w:r w:rsidR="003C041A">
        <w:rPr>
          <w:rFonts w:ascii="Arial" w:hAnsi="Arial" w:cs="Arial"/>
          <w:sz w:val="20"/>
        </w:rPr>
        <w:t>8</w:t>
      </w:r>
      <w:r w:rsidR="00EA7429">
        <w:rPr>
          <w:rFonts w:ascii="Arial" w:hAnsi="Arial" w:cs="Arial"/>
          <w:sz w:val="20"/>
        </w:rPr>
        <w:t>.2.2</w:t>
      </w:r>
      <w:r w:rsidR="00B77374">
        <w:rPr>
          <w:rFonts w:ascii="Arial" w:hAnsi="Arial" w:cs="Arial"/>
          <w:sz w:val="20"/>
        </w:rPr>
        <w:t xml:space="preserve"> Регламента</w:t>
      </w:r>
      <w:r w:rsidR="00E41C98">
        <w:rPr>
          <w:rFonts w:ascii="Arial" w:hAnsi="Arial" w:cs="Arial"/>
          <w:sz w:val="20"/>
        </w:rPr>
        <w:t>, а в случае нарушения данных сроков</w:t>
      </w:r>
      <w:r w:rsidR="000F2EA8">
        <w:rPr>
          <w:rFonts w:ascii="Arial" w:hAnsi="Arial" w:cs="Arial"/>
          <w:sz w:val="20"/>
        </w:rPr>
        <w:t>,</w:t>
      </w:r>
      <w:r w:rsidR="00E41C98">
        <w:rPr>
          <w:rFonts w:ascii="Arial" w:hAnsi="Arial" w:cs="Arial"/>
          <w:sz w:val="20"/>
        </w:rPr>
        <w:t xml:space="preserve"> </w:t>
      </w:r>
      <w:r w:rsidR="00FF5F74">
        <w:rPr>
          <w:rFonts w:ascii="Arial" w:hAnsi="Arial" w:cs="Arial"/>
          <w:sz w:val="20"/>
        </w:rPr>
        <w:t xml:space="preserve">Банк </w:t>
      </w:r>
      <w:r w:rsidR="00E41C98">
        <w:rPr>
          <w:rFonts w:ascii="Arial" w:hAnsi="Arial" w:cs="Arial"/>
          <w:sz w:val="20"/>
        </w:rPr>
        <w:t>может</w:t>
      </w:r>
      <w:r w:rsidR="000F2EA8">
        <w:rPr>
          <w:rFonts w:ascii="Arial" w:hAnsi="Arial" w:cs="Arial"/>
          <w:sz w:val="20"/>
        </w:rPr>
        <w:t>,</w:t>
      </w:r>
      <w:r w:rsidR="00E41C98">
        <w:rPr>
          <w:rFonts w:ascii="Arial" w:hAnsi="Arial" w:cs="Arial"/>
          <w:sz w:val="20"/>
        </w:rPr>
        <w:t xml:space="preserve"> не дожидаясь окончания торговой сессии</w:t>
      </w:r>
      <w:r w:rsidR="00A01BF5">
        <w:rPr>
          <w:rFonts w:ascii="Arial" w:hAnsi="Arial" w:cs="Arial"/>
          <w:sz w:val="20"/>
        </w:rPr>
        <w:t xml:space="preserve"> текущего Торгового дня</w:t>
      </w:r>
      <w:r w:rsidR="000F2EA8">
        <w:rPr>
          <w:rFonts w:ascii="Arial" w:hAnsi="Arial" w:cs="Arial"/>
          <w:sz w:val="20"/>
        </w:rPr>
        <w:t>,</w:t>
      </w:r>
      <w:r w:rsidR="00E41C98">
        <w:rPr>
          <w:rFonts w:ascii="Arial" w:hAnsi="Arial" w:cs="Arial"/>
          <w:sz w:val="20"/>
        </w:rPr>
        <w:t xml:space="preserve"> применить процедуру</w:t>
      </w:r>
      <w:r w:rsidR="000F2EA8">
        <w:rPr>
          <w:rFonts w:ascii="Arial" w:hAnsi="Arial" w:cs="Arial"/>
          <w:sz w:val="20"/>
        </w:rPr>
        <w:t>,</w:t>
      </w:r>
      <w:r w:rsidR="00E41C98">
        <w:rPr>
          <w:rFonts w:ascii="Arial" w:hAnsi="Arial" w:cs="Arial"/>
          <w:sz w:val="20"/>
        </w:rPr>
        <w:t xml:space="preserve"> указанную в п.1</w:t>
      </w:r>
      <w:r w:rsidR="00E30BB0">
        <w:rPr>
          <w:rFonts w:ascii="Arial" w:hAnsi="Arial" w:cs="Arial"/>
          <w:sz w:val="20"/>
        </w:rPr>
        <w:t>8</w:t>
      </w:r>
      <w:r w:rsidR="00E41C98">
        <w:rPr>
          <w:rFonts w:ascii="Arial" w:hAnsi="Arial" w:cs="Arial"/>
          <w:sz w:val="20"/>
        </w:rPr>
        <w:t>.5 Регламента.</w:t>
      </w:r>
    </w:p>
    <w:p w:rsidR="00A85286" w:rsidRDefault="00A85286" w:rsidP="00A85286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Банк вправе предоставить услугу «Портфельное маржирование», которая выражается в выставлении требований к Гарантийному обеспечению по совокупности открытых позиций между Фондовым </w:t>
      </w:r>
      <w:r w:rsidR="00E30BB0">
        <w:rPr>
          <w:rFonts w:ascii="Arial" w:hAnsi="Arial" w:cs="Arial"/>
          <w:sz w:val="20"/>
        </w:rPr>
        <w:t xml:space="preserve">рынком </w:t>
      </w:r>
      <w:r>
        <w:rPr>
          <w:rFonts w:ascii="Arial" w:hAnsi="Arial" w:cs="Arial"/>
          <w:sz w:val="20"/>
        </w:rPr>
        <w:t>и Срочным рынк</w:t>
      </w:r>
      <w:r w:rsidR="00E30BB0">
        <w:rPr>
          <w:rFonts w:ascii="Arial" w:hAnsi="Arial" w:cs="Arial"/>
          <w:sz w:val="20"/>
        </w:rPr>
        <w:t>ом</w:t>
      </w:r>
      <w:r>
        <w:rPr>
          <w:rFonts w:ascii="Arial" w:hAnsi="Arial" w:cs="Arial"/>
          <w:sz w:val="20"/>
        </w:rPr>
        <w:t xml:space="preserve">. </w:t>
      </w:r>
      <w:r w:rsidR="00BE4A7B">
        <w:rPr>
          <w:rFonts w:ascii="Arial" w:hAnsi="Arial" w:cs="Arial"/>
          <w:sz w:val="20"/>
        </w:rPr>
        <w:t>При этом Клиент согласен, что на основании п. 18.4 Регламента, Банк будет выставлять требования по пополнению Средств гарантийного обеспечения в сроки, отличные от п.18.2.1 и 18.2.2 Регламента, а в случае нарушения данных сроков, Банк может, не дожидаясь окончания торговой сессии текущего Торгового дня, применить процедуру, указанную в п.18.5 Регламента.</w:t>
      </w:r>
    </w:p>
    <w:p w:rsidR="0012105D" w:rsidRDefault="0012105D" w:rsidP="0012105D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Информация о</w:t>
      </w:r>
      <w:r w:rsidR="000F2EA8">
        <w:rPr>
          <w:rFonts w:ascii="Arial" w:hAnsi="Arial" w:cs="Arial"/>
          <w:sz w:val="20"/>
        </w:rPr>
        <w:t xml:space="preserve"> </w:t>
      </w:r>
      <w:r w:rsidR="000F74AF">
        <w:rPr>
          <w:rFonts w:ascii="Arial" w:hAnsi="Arial" w:cs="Arial"/>
          <w:sz w:val="20"/>
        </w:rPr>
        <w:t xml:space="preserve">размере </w:t>
      </w:r>
      <w:r w:rsidR="00817DBA">
        <w:rPr>
          <w:rFonts w:ascii="Arial" w:hAnsi="Arial" w:cs="Arial"/>
          <w:sz w:val="20"/>
        </w:rPr>
        <w:t>Г</w:t>
      </w:r>
      <w:r>
        <w:rPr>
          <w:rFonts w:ascii="Arial" w:hAnsi="Arial" w:cs="Arial"/>
          <w:sz w:val="20"/>
        </w:rPr>
        <w:t xml:space="preserve">арантийного обеспечения транслируется в </w:t>
      </w:r>
      <w:r w:rsidR="005F5B2E" w:rsidRPr="00EF5752">
        <w:rPr>
          <w:rFonts w:ascii="Arial" w:hAnsi="Arial" w:cs="Arial"/>
        </w:rPr>
        <w:t>информационно-торговой системы «QUIK»</w:t>
      </w:r>
      <w:r w:rsidR="00A64996">
        <w:rPr>
          <w:rFonts w:ascii="Arial" w:hAnsi="Arial" w:cs="Arial"/>
          <w:sz w:val="20"/>
        </w:rPr>
        <w:t xml:space="preserve"> и/или в Биржевых шлюзах</w:t>
      </w:r>
      <w:r w:rsidR="00B13FE2">
        <w:rPr>
          <w:rFonts w:ascii="Arial" w:hAnsi="Arial" w:cs="Arial"/>
          <w:sz w:val="20"/>
        </w:rPr>
        <w:t xml:space="preserve">, а так же рассылается </w:t>
      </w:r>
      <w:r w:rsidR="00BE4A7B">
        <w:rPr>
          <w:rFonts w:ascii="Arial" w:hAnsi="Arial" w:cs="Arial"/>
          <w:sz w:val="20"/>
        </w:rPr>
        <w:t>К</w:t>
      </w:r>
      <w:r w:rsidR="00B13FE2">
        <w:rPr>
          <w:rFonts w:ascii="Arial" w:hAnsi="Arial" w:cs="Arial"/>
          <w:sz w:val="20"/>
        </w:rPr>
        <w:t>лиентам в о</w:t>
      </w:r>
      <w:r w:rsidR="00644A7E">
        <w:rPr>
          <w:rFonts w:ascii="Arial" w:hAnsi="Arial" w:cs="Arial"/>
          <w:sz w:val="20"/>
        </w:rPr>
        <w:t>тчётах Банка в соответствии с п.2</w:t>
      </w:r>
      <w:r w:rsidR="00BE4A7B">
        <w:rPr>
          <w:rFonts w:ascii="Arial" w:hAnsi="Arial" w:cs="Arial"/>
          <w:sz w:val="20"/>
        </w:rPr>
        <w:t>2</w:t>
      </w:r>
      <w:r w:rsidR="00644A7E">
        <w:rPr>
          <w:rFonts w:ascii="Arial" w:hAnsi="Arial" w:cs="Arial"/>
          <w:sz w:val="20"/>
        </w:rPr>
        <w:t xml:space="preserve"> Регламента</w:t>
      </w:r>
      <w:r>
        <w:rPr>
          <w:rFonts w:ascii="Arial" w:hAnsi="Arial" w:cs="Arial"/>
          <w:sz w:val="20"/>
        </w:rPr>
        <w:t>.</w:t>
      </w:r>
    </w:p>
    <w:p w:rsidR="00AF3121" w:rsidRDefault="00602464" w:rsidP="00C50D73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Расчёт</w:t>
      </w:r>
      <w:r w:rsidR="00AF3121">
        <w:rPr>
          <w:rFonts w:ascii="Arial" w:hAnsi="Arial" w:cs="Arial"/>
          <w:b/>
          <w:sz w:val="20"/>
        </w:rPr>
        <w:t xml:space="preserve"> Единого и Торгового лимитов на Валютном</w:t>
      </w:r>
      <w:r w:rsidR="007241E2">
        <w:rPr>
          <w:rFonts w:ascii="Arial" w:hAnsi="Arial" w:cs="Arial"/>
          <w:b/>
          <w:sz w:val="20"/>
        </w:rPr>
        <w:t xml:space="preserve"> </w:t>
      </w:r>
      <w:r w:rsidR="00BE4A7B">
        <w:rPr>
          <w:rFonts w:ascii="Arial" w:hAnsi="Arial" w:cs="Arial"/>
          <w:b/>
          <w:sz w:val="20"/>
        </w:rPr>
        <w:t xml:space="preserve">рынке и Единого лимита </w:t>
      </w:r>
      <w:r w:rsidR="007241E2">
        <w:rPr>
          <w:rFonts w:ascii="Arial" w:hAnsi="Arial" w:cs="Arial"/>
          <w:b/>
          <w:sz w:val="20"/>
        </w:rPr>
        <w:t>и Фондовом</w:t>
      </w:r>
      <w:r w:rsidR="00AF3121">
        <w:rPr>
          <w:rFonts w:ascii="Arial" w:hAnsi="Arial" w:cs="Arial"/>
          <w:b/>
          <w:sz w:val="20"/>
        </w:rPr>
        <w:t xml:space="preserve"> </w:t>
      </w:r>
      <w:r w:rsidR="007241E2">
        <w:rPr>
          <w:rFonts w:ascii="Arial" w:hAnsi="Arial" w:cs="Arial"/>
          <w:b/>
          <w:sz w:val="20"/>
        </w:rPr>
        <w:t>рынк</w:t>
      </w:r>
      <w:r w:rsidR="00BE4A7B">
        <w:rPr>
          <w:rFonts w:ascii="Arial" w:hAnsi="Arial" w:cs="Arial"/>
          <w:b/>
          <w:sz w:val="20"/>
        </w:rPr>
        <w:t>е</w:t>
      </w:r>
      <w:r w:rsidR="007241E2">
        <w:rPr>
          <w:rFonts w:ascii="Arial" w:hAnsi="Arial" w:cs="Arial"/>
          <w:b/>
          <w:sz w:val="20"/>
        </w:rPr>
        <w:t xml:space="preserve"> </w:t>
      </w:r>
      <w:r w:rsidR="00AF3121">
        <w:rPr>
          <w:rFonts w:ascii="Arial" w:hAnsi="Arial" w:cs="Arial"/>
          <w:b/>
          <w:sz w:val="20"/>
        </w:rPr>
        <w:t>для Клиентов</w:t>
      </w:r>
      <w:r w:rsidR="00BE4A7B">
        <w:rPr>
          <w:rFonts w:ascii="Arial" w:hAnsi="Arial" w:cs="Arial"/>
          <w:b/>
          <w:sz w:val="20"/>
        </w:rPr>
        <w:t xml:space="preserve">, чьи позиции учитываются в рамках </w:t>
      </w:r>
      <w:r w:rsidR="00AF3121">
        <w:rPr>
          <w:rFonts w:ascii="Arial" w:hAnsi="Arial" w:cs="Arial"/>
          <w:b/>
          <w:sz w:val="20"/>
        </w:rPr>
        <w:t xml:space="preserve"> Обособленн</w:t>
      </w:r>
      <w:r w:rsidR="005C7C1B">
        <w:rPr>
          <w:rFonts w:ascii="Arial" w:hAnsi="Arial" w:cs="Arial"/>
          <w:b/>
          <w:sz w:val="20"/>
        </w:rPr>
        <w:t xml:space="preserve">ых </w:t>
      </w:r>
      <w:r w:rsidR="00AF3121">
        <w:rPr>
          <w:rFonts w:ascii="Arial" w:hAnsi="Arial" w:cs="Arial"/>
          <w:b/>
          <w:sz w:val="20"/>
        </w:rPr>
        <w:t>расчётн</w:t>
      </w:r>
      <w:r w:rsidR="005C7C1B">
        <w:rPr>
          <w:rFonts w:ascii="Arial" w:hAnsi="Arial" w:cs="Arial"/>
          <w:b/>
          <w:sz w:val="20"/>
        </w:rPr>
        <w:t xml:space="preserve">ых </w:t>
      </w:r>
      <w:r w:rsidR="00AF3121">
        <w:rPr>
          <w:rFonts w:ascii="Arial" w:hAnsi="Arial" w:cs="Arial"/>
          <w:b/>
          <w:sz w:val="20"/>
        </w:rPr>
        <w:t>код</w:t>
      </w:r>
      <w:r w:rsidR="005C7C1B">
        <w:rPr>
          <w:rFonts w:ascii="Arial" w:hAnsi="Arial" w:cs="Arial"/>
          <w:b/>
          <w:sz w:val="20"/>
        </w:rPr>
        <w:t>ов</w:t>
      </w:r>
      <w:r w:rsidR="00AF3121">
        <w:rPr>
          <w:rFonts w:ascii="Arial" w:hAnsi="Arial" w:cs="Arial"/>
          <w:b/>
          <w:sz w:val="20"/>
        </w:rPr>
        <w:t>.</w:t>
      </w:r>
    </w:p>
    <w:p w:rsidR="00AF3121" w:rsidRPr="00AF3121" w:rsidRDefault="00AF3121" w:rsidP="00AF3121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 w:rsidRPr="00AF3121">
        <w:rPr>
          <w:rFonts w:ascii="Arial" w:hAnsi="Arial" w:cs="Arial"/>
          <w:sz w:val="20"/>
        </w:rPr>
        <w:t xml:space="preserve">Единый лимит на Валютном </w:t>
      </w:r>
      <w:r w:rsidR="007241E2">
        <w:rPr>
          <w:rFonts w:ascii="Arial" w:hAnsi="Arial" w:cs="Arial"/>
          <w:sz w:val="20"/>
        </w:rPr>
        <w:t xml:space="preserve">и Фондовом </w:t>
      </w:r>
      <w:r w:rsidR="007241E2" w:rsidRPr="00AF3121">
        <w:rPr>
          <w:rFonts w:ascii="Arial" w:hAnsi="Arial" w:cs="Arial"/>
          <w:sz w:val="20"/>
        </w:rPr>
        <w:t>рынк</w:t>
      </w:r>
      <w:r w:rsidR="007241E2">
        <w:rPr>
          <w:rFonts w:ascii="Arial" w:hAnsi="Arial" w:cs="Arial"/>
          <w:sz w:val="20"/>
        </w:rPr>
        <w:t>ах</w:t>
      </w:r>
      <w:r w:rsidR="007241E2" w:rsidRPr="00AF3121">
        <w:rPr>
          <w:rFonts w:ascii="Arial" w:hAnsi="Arial" w:cs="Arial"/>
          <w:sz w:val="20"/>
        </w:rPr>
        <w:t xml:space="preserve"> </w:t>
      </w:r>
      <w:r w:rsidRPr="00AF3121">
        <w:rPr>
          <w:rFonts w:ascii="Arial" w:hAnsi="Arial" w:cs="Arial"/>
          <w:sz w:val="20"/>
        </w:rPr>
        <w:t>для Клиентов использующих Обособленные расчётные коды рассчитывается Банком по методике Клиринговой организации ЗАО АКБ «Национальный Клиринговый Центр».</w:t>
      </w:r>
    </w:p>
    <w:p w:rsidR="00AF3121" w:rsidRPr="00507D40" w:rsidRDefault="00507D40" w:rsidP="00507D40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 w:rsidRPr="00507D40">
        <w:rPr>
          <w:rFonts w:ascii="Arial" w:hAnsi="Arial" w:cs="Arial"/>
          <w:sz w:val="20"/>
        </w:rPr>
        <w:t xml:space="preserve">Торговый лимит на Валютном </w:t>
      </w:r>
      <w:r w:rsidR="007241E2">
        <w:rPr>
          <w:rFonts w:ascii="Arial" w:hAnsi="Arial" w:cs="Arial"/>
          <w:sz w:val="20"/>
        </w:rPr>
        <w:t xml:space="preserve">и Фондовом </w:t>
      </w:r>
      <w:r w:rsidR="007241E2" w:rsidRPr="00507D40">
        <w:rPr>
          <w:rFonts w:ascii="Arial" w:hAnsi="Arial" w:cs="Arial"/>
          <w:sz w:val="20"/>
        </w:rPr>
        <w:t>рынк</w:t>
      </w:r>
      <w:r w:rsidR="007241E2">
        <w:rPr>
          <w:rFonts w:ascii="Arial" w:hAnsi="Arial" w:cs="Arial"/>
          <w:sz w:val="20"/>
        </w:rPr>
        <w:t>ах</w:t>
      </w:r>
      <w:r w:rsidR="007241E2" w:rsidRPr="00507D40">
        <w:rPr>
          <w:rFonts w:ascii="Arial" w:hAnsi="Arial" w:cs="Arial"/>
          <w:sz w:val="20"/>
        </w:rPr>
        <w:t xml:space="preserve"> </w:t>
      </w:r>
      <w:r w:rsidRPr="00507D40">
        <w:rPr>
          <w:rFonts w:ascii="Arial" w:hAnsi="Arial" w:cs="Arial"/>
          <w:sz w:val="20"/>
        </w:rPr>
        <w:t>для Клиентов использующих Обособленные расчётные коды рассчитывается Банком по методике Клиринговой организации ЗАО АКБ «Национальный Клиринговый Центр».</w:t>
      </w:r>
    </w:p>
    <w:p w:rsidR="00C50D73" w:rsidRPr="004331C9" w:rsidRDefault="00AA613D" w:rsidP="00C50D73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Расчёт</w:t>
      </w:r>
      <w:r w:rsidR="00C50D73" w:rsidRPr="004331C9">
        <w:rPr>
          <w:rFonts w:ascii="Arial" w:hAnsi="Arial" w:cs="Arial"/>
          <w:b/>
          <w:sz w:val="20"/>
        </w:rPr>
        <w:t xml:space="preserve"> Задолженности</w:t>
      </w:r>
      <w:r w:rsidR="00B37BF0">
        <w:rPr>
          <w:rFonts w:ascii="Arial" w:hAnsi="Arial" w:cs="Arial"/>
          <w:b/>
          <w:sz w:val="20"/>
        </w:rPr>
        <w:t xml:space="preserve"> на Валютном </w:t>
      </w:r>
      <w:r w:rsidR="00971683">
        <w:rPr>
          <w:rFonts w:ascii="Arial" w:hAnsi="Arial" w:cs="Arial"/>
          <w:b/>
          <w:sz w:val="20"/>
        </w:rPr>
        <w:t xml:space="preserve">Фондовом </w:t>
      </w:r>
      <w:r w:rsidR="00B37BF0">
        <w:rPr>
          <w:rFonts w:ascii="Arial" w:hAnsi="Arial" w:cs="Arial"/>
          <w:b/>
          <w:sz w:val="20"/>
        </w:rPr>
        <w:t>и Внебиржевом рынках</w:t>
      </w:r>
      <w:r w:rsidR="00DF5536">
        <w:rPr>
          <w:rFonts w:ascii="Arial" w:hAnsi="Arial" w:cs="Arial"/>
          <w:b/>
          <w:sz w:val="20"/>
        </w:rPr>
        <w:t xml:space="preserve"> для Клиентов не использующих Обособленный расчётный код</w:t>
      </w:r>
      <w:r w:rsidR="00754409">
        <w:rPr>
          <w:rFonts w:ascii="Arial" w:hAnsi="Arial" w:cs="Arial"/>
          <w:b/>
          <w:sz w:val="20"/>
        </w:rPr>
        <w:t>.</w:t>
      </w:r>
    </w:p>
    <w:p w:rsidR="00C50D73" w:rsidRDefault="00C50D73" w:rsidP="00C50D73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 w:rsidRPr="005A3A11">
        <w:rPr>
          <w:rFonts w:ascii="Arial" w:hAnsi="Arial" w:cs="Arial"/>
          <w:sz w:val="20"/>
        </w:rPr>
        <w:t>Задолженность</w:t>
      </w:r>
      <w:r>
        <w:rPr>
          <w:rFonts w:ascii="Arial" w:hAnsi="Arial" w:cs="Arial"/>
          <w:sz w:val="20"/>
        </w:rPr>
        <w:t xml:space="preserve"> рассчитывается по формуле:</w:t>
      </w:r>
    </w:p>
    <w:p w:rsidR="00C50D73" w:rsidRPr="00B24881" w:rsidRDefault="00C50D73" w:rsidP="005228F5">
      <w:pPr>
        <w:overflowPunct/>
        <w:autoSpaceDE/>
        <w:autoSpaceDN/>
        <w:adjustRightInd/>
        <w:spacing w:before="120" w:after="120"/>
        <w:ind w:left="340"/>
        <w:jc w:val="center"/>
        <w:textAlignment w:val="auto"/>
        <w:rPr>
          <w:rFonts w:ascii="Arial" w:hAnsi="Arial" w:cs="Arial"/>
          <w:sz w:val="20"/>
        </w:rPr>
      </w:pPr>
      <m:oMath>
        <m:r>
          <w:rPr>
            <w:rFonts w:ascii="Cambria Math" w:hAnsi="Cambria Math" w:cs="Arial"/>
            <w:sz w:val="20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  <w:lang w:val="en-US"/>
              </w:rPr>
              <m:t>RUB</m:t>
            </m:r>
            <m:r>
              <w:rPr>
                <w:rFonts w:ascii="Cambria Math" w:hAnsi="Cambria Math" w:cs="Arial"/>
                <w:sz w:val="20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0"/>
                  </w:rPr>
                  <m:t>(</m:t>
                </m:r>
              </m:e>
            </m:nary>
            <m:r>
              <w:rPr>
                <w:rFonts w:ascii="Cambria Math" w:hAnsi="Cambria Math" w:cs="Arial"/>
                <w:sz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0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lang w:val="en-US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lang w:val="en-US"/>
                      </w:rPr>
                      <m:t>B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val="en-US"/>
                      </w:rPr>
                      <m:t>TOM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lang w:val="en-US"/>
                      </w:rPr>
                    </m:ctrlPr>
                  </m:sub>
                </m:sSub>
              </m:e>
              <m:sub>
                <m:r>
                  <w:rPr>
                    <w:rFonts w:ascii="Cambria Math" w:hAnsi="Cambria Math" w:cs="Arial"/>
                    <w:sz w:val="20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0"/>
              </w:rPr>
              <m:t>)</m:t>
            </m:r>
          </m:e>
        </m:d>
      </m:oMath>
      <w:r>
        <w:rPr>
          <w:rFonts w:ascii="Arial" w:hAnsi="Arial" w:cs="Arial"/>
          <w:sz w:val="20"/>
        </w:rPr>
        <w:t>, где</w:t>
      </w:r>
    </w:p>
    <w:p w:rsidR="00C50D73" w:rsidRPr="00B24881" w:rsidRDefault="00C50D73" w:rsidP="00C50D73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</w:rPr>
          <m:t>RUB</m:t>
        </m:r>
      </m:oMath>
      <w:r w:rsidRPr="00B24881">
        <w:rPr>
          <w:rFonts w:ascii="Arial" w:hAnsi="Arial" w:cs="Arial"/>
          <w:sz w:val="20"/>
        </w:rPr>
        <w:t xml:space="preserve"> – </w:t>
      </w:r>
      <w:r w:rsidRPr="00485945">
        <w:rPr>
          <w:rFonts w:ascii="Arial" w:hAnsi="Arial" w:cs="Arial"/>
          <w:sz w:val="20"/>
        </w:rPr>
        <w:t xml:space="preserve">Сумма </w:t>
      </w:r>
      <w:r>
        <w:rPr>
          <w:rFonts w:ascii="Arial" w:hAnsi="Arial" w:cs="Arial"/>
          <w:sz w:val="20"/>
        </w:rPr>
        <w:t>обязательств</w:t>
      </w:r>
      <w:r w:rsidRPr="004331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в рублях РФ.</w:t>
      </w:r>
    </w:p>
    <w:p w:rsidR="00C50D73" w:rsidRDefault="00E803B4" w:rsidP="00C50D73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hAnsi="Cambria Math" w:cs="Arial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i</m:t>
            </m:r>
          </m:sub>
        </m:sSub>
      </m:oMath>
      <w:r w:rsidR="00C50D73" w:rsidRPr="00485945">
        <w:rPr>
          <w:rFonts w:ascii="Arial" w:hAnsi="Arial" w:cs="Arial"/>
          <w:sz w:val="20"/>
        </w:rPr>
        <w:t xml:space="preserve"> –</w:t>
      </w:r>
      <w:r w:rsidR="00C50D73">
        <w:rPr>
          <w:rFonts w:ascii="Arial" w:hAnsi="Arial" w:cs="Arial"/>
          <w:sz w:val="20"/>
        </w:rPr>
        <w:t xml:space="preserve"> объем обязательств в соответствующей валюте</w:t>
      </w:r>
      <w:r w:rsidR="00971683">
        <w:rPr>
          <w:rFonts w:ascii="Arial" w:hAnsi="Arial" w:cs="Arial"/>
          <w:sz w:val="20"/>
        </w:rPr>
        <w:t xml:space="preserve"> или Ценных бумагах</w:t>
      </w:r>
      <w:r w:rsidR="00C50D73">
        <w:rPr>
          <w:rFonts w:ascii="Arial" w:hAnsi="Arial" w:cs="Arial"/>
          <w:sz w:val="20"/>
        </w:rPr>
        <w:t>, предназначенной к поставке.</w:t>
      </w:r>
    </w:p>
    <w:p w:rsidR="00C50D73" w:rsidRPr="00C50D73" w:rsidRDefault="00C50D73" w:rsidP="00C50D73">
      <w:pPr>
        <w:overflowPunct/>
        <w:autoSpaceDE/>
        <w:autoSpaceDN/>
        <w:adjustRightInd/>
        <w:spacing w:before="120" w:after="120"/>
        <w:ind w:left="1000"/>
        <w:textAlignment w:val="auto"/>
        <w:rPr>
          <w:rFonts w:ascii="Arial" w:hAnsi="Arial" w:cs="Arial"/>
          <w:sz w:val="20"/>
        </w:rPr>
      </w:pPr>
      <w:r w:rsidRPr="00485945">
        <w:rPr>
          <w:rFonts w:ascii="Arial" w:hAnsi="Arial" w:cs="Arial"/>
          <w:sz w:val="20"/>
        </w:rPr>
        <w:t>CrossrateRub_TOM – цена инструмента в сопряженной валюте в Рублях РФ с расчетами «завтра»</w:t>
      </w:r>
      <w:r w:rsidR="00D567EB">
        <w:rPr>
          <w:rFonts w:ascii="Arial" w:hAnsi="Arial" w:cs="Arial"/>
          <w:sz w:val="20"/>
        </w:rPr>
        <w:t xml:space="preserve"> или цена Ценной бумаги в Рублях РФ с расчётами T+2.</w:t>
      </w:r>
    </w:p>
    <w:p w:rsidR="002F049F" w:rsidRDefault="0012105D" w:rsidP="0012105D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F049F" w:rsidRPr="0012105D">
        <w:rPr>
          <w:rFonts w:ascii="Arial" w:hAnsi="Arial" w:cs="Arial"/>
          <w:b/>
          <w:sz w:val="20"/>
        </w:rPr>
        <w:t>Уровень покрытия</w:t>
      </w:r>
      <w:r w:rsidR="00F60A36">
        <w:rPr>
          <w:rFonts w:ascii="Arial" w:hAnsi="Arial" w:cs="Arial"/>
          <w:b/>
          <w:sz w:val="20"/>
        </w:rPr>
        <w:t xml:space="preserve"> </w:t>
      </w:r>
      <w:r w:rsidR="00F60A36" w:rsidRPr="00F60A36">
        <w:rPr>
          <w:rFonts w:ascii="Arial" w:hAnsi="Arial" w:cs="Arial"/>
          <w:b/>
          <w:sz w:val="20"/>
        </w:rPr>
        <w:t>на Валютном</w:t>
      </w:r>
      <w:r w:rsidR="0009330A">
        <w:rPr>
          <w:rFonts w:ascii="Arial" w:hAnsi="Arial" w:cs="Arial"/>
          <w:b/>
          <w:sz w:val="20"/>
        </w:rPr>
        <w:t>, Фондовом</w:t>
      </w:r>
      <w:r w:rsidR="00F60A36" w:rsidRPr="00F60A36">
        <w:rPr>
          <w:rFonts w:ascii="Arial" w:hAnsi="Arial" w:cs="Arial"/>
          <w:b/>
          <w:sz w:val="20"/>
        </w:rPr>
        <w:t xml:space="preserve"> и Внебиржевом рынках</w:t>
      </w:r>
      <w:r w:rsidR="0035671F">
        <w:rPr>
          <w:rFonts w:ascii="Arial" w:hAnsi="Arial" w:cs="Arial"/>
          <w:b/>
          <w:sz w:val="20"/>
        </w:rPr>
        <w:t xml:space="preserve"> для </w:t>
      </w:r>
      <w:r w:rsidR="001A0F56">
        <w:rPr>
          <w:rFonts w:ascii="Arial" w:hAnsi="Arial" w:cs="Arial"/>
          <w:b/>
          <w:sz w:val="20"/>
        </w:rPr>
        <w:t>К</w:t>
      </w:r>
      <w:r w:rsidR="0035671F">
        <w:rPr>
          <w:rFonts w:ascii="Arial" w:hAnsi="Arial" w:cs="Arial"/>
          <w:b/>
          <w:sz w:val="20"/>
        </w:rPr>
        <w:t>лиентов</w:t>
      </w:r>
      <w:r w:rsidR="001A0F56">
        <w:rPr>
          <w:rFonts w:ascii="Arial" w:hAnsi="Arial" w:cs="Arial"/>
          <w:b/>
          <w:sz w:val="20"/>
        </w:rPr>
        <w:t xml:space="preserve">, чьи позиции </w:t>
      </w:r>
      <w:r w:rsidR="005C7C1B">
        <w:rPr>
          <w:rFonts w:ascii="Arial" w:hAnsi="Arial" w:cs="Arial"/>
          <w:b/>
          <w:sz w:val="20"/>
        </w:rPr>
        <w:t xml:space="preserve">учитываются в рамках </w:t>
      </w:r>
      <w:r w:rsidR="0035671F">
        <w:rPr>
          <w:rFonts w:ascii="Arial" w:hAnsi="Arial" w:cs="Arial"/>
          <w:b/>
          <w:sz w:val="20"/>
        </w:rPr>
        <w:t xml:space="preserve"> Обособленный расчётны</w:t>
      </w:r>
      <w:r w:rsidR="005C7C1B">
        <w:rPr>
          <w:rFonts w:ascii="Arial" w:hAnsi="Arial" w:cs="Arial"/>
          <w:b/>
          <w:sz w:val="20"/>
        </w:rPr>
        <w:t>х</w:t>
      </w:r>
      <w:r w:rsidR="0035671F">
        <w:rPr>
          <w:rFonts w:ascii="Arial" w:hAnsi="Arial" w:cs="Arial"/>
          <w:b/>
          <w:sz w:val="20"/>
        </w:rPr>
        <w:t xml:space="preserve"> код</w:t>
      </w:r>
      <w:r w:rsidR="005C7C1B">
        <w:rPr>
          <w:rFonts w:ascii="Arial" w:hAnsi="Arial" w:cs="Arial"/>
          <w:b/>
          <w:sz w:val="20"/>
        </w:rPr>
        <w:t>ов</w:t>
      </w:r>
      <w:r w:rsidR="002F049F" w:rsidRPr="0012105D">
        <w:rPr>
          <w:rFonts w:ascii="Arial" w:hAnsi="Arial" w:cs="Arial"/>
          <w:b/>
          <w:sz w:val="20"/>
        </w:rPr>
        <w:t>.</w:t>
      </w:r>
    </w:p>
    <w:p w:rsidR="00B37BF0" w:rsidRPr="00B37BF0" w:rsidRDefault="00B37BF0" w:rsidP="00B37BF0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Уровень покрытия на Валютном</w:t>
      </w:r>
      <w:r w:rsidR="005C7C1B">
        <w:rPr>
          <w:rFonts w:ascii="Arial" w:hAnsi="Arial" w:cs="Arial"/>
          <w:sz w:val="20"/>
        </w:rPr>
        <w:t xml:space="preserve"> рынке и </w:t>
      </w:r>
      <w:r>
        <w:rPr>
          <w:rFonts w:ascii="Arial" w:hAnsi="Arial" w:cs="Arial"/>
          <w:sz w:val="20"/>
        </w:rPr>
        <w:t xml:space="preserve"> </w:t>
      </w:r>
      <w:r w:rsidR="00BC5DCA">
        <w:rPr>
          <w:rFonts w:ascii="Arial" w:hAnsi="Arial" w:cs="Arial"/>
          <w:sz w:val="20"/>
        </w:rPr>
        <w:t xml:space="preserve">Фондовом </w:t>
      </w:r>
      <w:r w:rsidR="005C7C1B">
        <w:rPr>
          <w:rFonts w:ascii="Arial" w:hAnsi="Arial" w:cs="Arial"/>
          <w:sz w:val="20"/>
        </w:rPr>
        <w:t xml:space="preserve">рынке </w:t>
      </w:r>
      <w:r>
        <w:rPr>
          <w:rFonts w:ascii="Arial" w:hAnsi="Arial" w:cs="Arial"/>
          <w:sz w:val="20"/>
        </w:rPr>
        <w:t>и Внебиржевом рынках рассчитывается по формуле:</w:t>
      </w:r>
    </w:p>
    <w:p w:rsidR="00AB1460" w:rsidRPr="002C4955" w:rsidRDefault="00C71F1D" w:rsidP="00BD5D16">
      <w:pPr>
        <w:overflowPunct/>
        <w:autoSpaceDE/>
        <w:autoSpaceDN/>
        <w:adjustRightInd/>
        <w:spacing w:before="120" w:after="120"/>
        <w:ind w:left="340"/>
        <w:textAlignment w:val="auto"/>
        <w:rPr>
          <w:rFonts w:ascii="Arial" w:hAnsi="Arial" w:cs="Arial"/>
          <w:b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</w:rPr>
            <m:t>Уровень покрытия</m:t>
          </m:r>
          <m:r>
            <m:rPr>
              <m:sty m:val="b"/>
            </m:rPr>
            <w:rPr>
              <w:rFonts w:ascii="Cambria Math" w:hAnsi="Cambria Math" w:cs="Arial"/>
              <w:sz w:val="20"/>
            </w:rPr>
            <m:t xml:space="preserve"> =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</w:rPr>
                    <m:t>СГО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</w:rPr>
                    <m:t>СГО+Задолженность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sz w:val="20"/>
            </w:rPr>
            <m:t>* 100%</m:t>
          </m:r>
        </m:oMath>
      </m:oMathPara>
    </w:p>
    <w:sectPr w:rsidR="00AB1460" w:rsidRPr="002C4955" w:rsidSect="00CF0CC3">
      <w:footerReference w:type="even" r:id="rId9"/>
      <w:footerReference w:type="default" r:id="rId10"/>
      <w:headerReference w:type="first" r:id="rId11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B4" w:rsidRDefault="00E803B4">
      <w:r>
        <w:separator/>
      </w:r>
    </w:p>
  </w:endnote>
  <w:endnote w:type="continuationSeparator" w:id="0">
    <w:p w:rsidR="00E803B4" w:rsidRDefault="00E8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61301E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61301E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8AD">
      <w:rPr>
        <w:rStyle w:val="a8"/>
        <w:noProof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B4" w:rsidRDefault="00E803B4">
      <w:r>
        <w:separator/>
      </w:r>
    </w:p>
  </w:footnote>
  <w:footnote w:type="continuationSeparator" w:id="0">
    <w:p w:rsidR="00E803B4" w:rsidRDefault="00E8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000" w:type="pct"/>
      <w:tblLayout w:type="fixed"/>
      <w:tblLook w:val="04A0" w:firstRow="1" w:lastRow="0" w:firstColumn="1" w:lastColumn="0" w:noHBand="0" w:noVBand="1"/>
    </w:tblPr>
    <w:tblGrid>
      <w:gridCol w:w="6275"/>
      <w:gridCol w:w="3807"/>
    </w:tblGrid>
    <w:tr w:rsidR="00D138D1" w:rsidRPr="00E874D9" w:rsidTr="0071009D">
      <w:tc>
        <w:tcPr>
          <w:tcW w:w="3112" w:type="pct"/>
          <w:shd w:val="clear" w:color="auto" w:fill="auto"/>
        </w:tcPr>
        <w:p w:rsidR="00D138D1" w:rsidRPr="00E874D9" w:rsidRDefault="00D138D1" w:rsidP="0071009D">
          <w:pPr>
            <w:pStyle w:val="a6"/>
            <w:spacing w:after="510"/>
            <w:rPr>
              <w:rFonts w:ascii="Arial" w:hAnsi="Arial" w:cs="Arial"/>
              <w:noProof/>
              <w:sz w:val="20"/>
            </w:rPr>
          </w:pPr>
        </w:p>
      </w:tc>
      <w:tc>
        <w:tcPr>
          <w:tcW w:w="1888" w:type="pct"/>
          <w:shd w:val="clear" w:color="auto" w:fill="auto"/>
        </w:tcPr>
        <w:p w:rsidR="00C52B19" w:rsidRDefault="00C52B19" w:rsidP="00254F01">
          <w:pPr>
            <w:pStyle w:val="a6"/>
            <w:rPr>
              <w:rFonts w:ascii="Arial" w:hAnsi="Arial" w:cs="Arial"/>
              <w:sz w:val="20"/>
            </w:rPr>
          </w:pPr>
        </w:p>
        <w:p w:rsidR="00D138D1" w:rsidRPr="00F70900" w:rsidRDefault="00D138D1" w:rsidP="00254F01">
          <w:pPr>
            <w:pStyle w:val="a6"/>
            <w:rPr>
              <w:rFonts w:ascii="Arial" w:hAnsi="Arial" w:cs="Arial"/>
              <w:noProof/>
              <w:sz w:val="20"/>
            </w:rPr>
          </w:pPr>
        </w:p>
      </w:tc>
    </w:tr>
  </w:tbl>
  <w:p w:rsidR="00CF0CC3" w:rsidRDefault="00CF0C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90"/>
      </w:pPr>
    </w:lvl>
    <w:lvl w:ilvl="3">
      <w:start w:val="1"/>
      <w:numFmt w:val="bullet"/>
      <w:lvlText w:val=""/>
      <w:lvlJc w:val="left"/>
      <w:pPr>
        <w:ind w:left="1728" w:hanging="31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70F"/>
    <w:multiLevelType w:val="hybridMultilevel"/>
    <w:tmpl w:val="0C743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41E97"/>
    <w:multiLevelType w:val="multilevel"/>
    <w:tmpl w:val="A71C51F6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9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31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CE271D"/>
    <w:multiLevelType w:val="hybridMultilevel"/>
    <w:tmpl w:val="9CDE759C"/>
    <w:lvl w:ilvl="0" w:tplc="F09EA46A">
      <w:start w:val="1"/>
      <w:numFmt w:val="bullet"/>
      <w:pStyle w:val="Tabo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3C4C3B4">
      <w:start w:val="1"/>
      <w:numFmt w:val="bullet"/>
      <w:pStyle w:val="a0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507C1104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FB047E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9746D604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D40C082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B73E5A0E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5789F4A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663690CA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7157F5D"/>
    <w:multiLevelType w:val="multilevel"/>
    <w:tmpl w:val="B9E28E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80"/>
        </w:tabs>
        <w:ind w:left="228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1C1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02CC4"/>
    <w:rsid w:val="00010B5D"/>
    <w:rsid w:val="00014C1C"/>
    <w:rsid w:val="00022278"/>
    <w:rsid w:val="00031043"/>
    <w:rsid w:val="00045C71"/>
    <w:rsid w:val="00046E3B"/>
    <w:rsid w:val="000536E4"/>
    <w:rsid w:val="00057C87"/>
    <w:rsid w:val="000712D4"/>
    <w:rsid w:val="0007215F"/>
    <w:rsid w:val="0009330A"/>
    <w:rsid w:val="000A2277"/>
    <w:rsid w:val="000B3020"/>
    <w:rsid w:val="000B5A29"/>
    <w:rsid w:val="000B7DE7"/>
    <w:rsid w:val="000C2F62"/>
    <w:rsid w:val="000C305A"/>
    <w:rsid w:val="000D120B"/>
    <w:rsid w:val="000F2EA8"/>
    <w:rsid w:val="000F74AF"/>
    <w:rsid w:val="00104A35"/>
    <w:rsid w:val="001130B0"/>
    <w:rsid w:val="00120BDA"/>
    <w:rsid w:val="0012105D"/>
    <w:rsid w:val="001249C1"/>
    <w:rsid w:val="00130932"/>
    <w:rsid w:val="00131363"/>
    <w:rsid w:val="00160C00"/>
    <w:rsid w:val="00161079"/>
    <w:rsid w:val="001639F2"/>
    <w:rsid w:val="00182E06"/>
    <w:rsid w:val="00187551"/>
    <w:rsid w:val="001922D7"/>
    <w:rsid w:val="001A0F56"/>
    <w:rsid w:val="001B014E"/>
    <w:rsid w:val="001C2F85"/>
    <w:rsid w:val="001D7BA2"/>
    <w:rsid w:val="001F3314"/>
    <w:rsid w:val="001F36E0"/>
    <w:rsid w:val="001F6537"/>
    <w:rsid w:val="00217C21"/>
    <w:rsid w:val="002247BA"/>
    <w:rsid w:val="0022530E"/>
    <w:rsid w:val="002257B3"/>
    <w:rsid w:val="00240769"/>
    <w:rsid w:val="002407EF"/>
    <w:rsid w:val="00241E47"/>
    <w:rsid w:val="00247912"/>
    <w:rsid w:val="00247ACA"/>
    <w:rsid w:val="00253261"/>
    <w:rsid w:val="00254F01"/>
    <w:rsid w:val="00261A20"/>
    <w:rsid w:val="002738AD"/>
    <w:rsid w:val="00275B26"/>
    <w:rsid w:val="00293DCF"/>
    <w:rsid w:val="002965CC"/>
    <w:rsid w:val="002A4943"/>
    <w:rsid w:val="002B4732"/>
    <w:rsid w:val="002C4955"/>
    <w:rsid w:val="002D2401"/>
    <w:rsid w:val="002E5655"/>
    <w:rsid w:val="002F049F"/>
    <w:rsid w:val="00305994"/>
    <w:rsid w:val="003168ED"/>
    <w:rsid w:val="0032284E"/>
    <w:rsid w:val="003236B5"/>
    <w:rsid w:val="00325D58"/>
    <w:rsid w:val="00346A9C"/>
    <w:rsid w:val="0035671F"/>
    <w:rsid w:val="003759F5"/>
    <w:rsid w:val="0037749A"/>
    <w:rsid w:val="00391FCA"/>
    <w:rsid w:val="003B7B95"/>
    <w:rsid w:val="003C041A"/>
    <w:rsid w:val="003C33A6"/>
    <w:rsid w:val="003E2C63"/>
    <w:rsid w:val="003E7017"/>
    <w:rsid w:val="003F4205"/>
    <w:rsid w:val="004014F6"/>
    <w:rsid w:val="004123D9"/>
    <w:rsid w:val="00413782"/>
    <w:rsid w:val="00431FE1"/>
    <w:rsid w:val="00444629"/>
    <w:rsid w:val="004473A7"/>
    <w:rsid w:val="004511ED"/>
    <w:rsid w:val="00472B5E"/>
    <w:rsid w:val="00476FB1"/>
    <w:rsid w:val="00480B2D"/>
    <w:rsid w:val="00485092"/>
    <w:rsid w:val="004B0B75"/>
    <w:rsid w:val="004B3E25"/>
    <w:rsid w:val="004B5F95"/>
    <w:rsid w:val="004C067C"/>
    <w:rsid w:val="004C42F4"/>
    <w:rsid w:val="004D4FD6"/>
    <w:rsid w:val="004E29CC"/>
    <w:rsid w:val="00507D40"/>
    <w:rsid w:val="005228F5"/>
    <w:rsid w:val="0052785F"/>
    <w:rsid w:val="0054426D"/>
    <w:rsid w:val="00550CA0"/>
    <w:rsid w:val="00556A1B"/>
    <w:rsid w:val="005856D1"/>
    <w:rsid w:val="005A09DF"/>
    <w:rsid w:val="005A64BA"/>
    <w:rsid w:val="005C7C1B"/>
    <w:rsid w:val="005F30AE"/>
    <w:rsid w:val="005F3962"/>
    <w:rsid w:val="005F5B2E"/>
    <w:rsid w:val="00602464"/>
    <w:rsid w:val="006044F8"/>
    <w:rsid w:val="0061301E"/>
    <w:rsid w:val="00644620"/>
    <w:rsid w:val="00644A7E"/>
    <w:rsid w:val="00644F7C"/>
    <w:rsid w:val="00651730"/>
    <w:rsid w:val="006718D8"/>
    <w:rsid w:val="006729C4"/>
    <w:rsid w:val="00674AC6"/>
    <w:rsid w:val="006A4C58"/>
    <w:rsid w:val="006B0BF0"/>
    <w:rsid w:val="006E4581"/>
    <w:rsid w:val="006F655F"/>
    <w:rsid w:val="006F679F"/>
    <w:rsid w:val="00700CA8"/>
    <w:rsid w:val="0071009D"/>
    <w:rsid w:val="007241E2"/>
    <w:rsid w:val="0072681A"/>
    <w:rsid w:val="0073242D"/>
    <w:rsid w:val="0073598F"/>
    <w:rsid w:val="00747285"/>
    <w:rsid w:val="00754409"/>
    <w:rsid w:val="007731BA"/>
    <w:rsid w:val="007948DB"/>
    <w:rsid w:val="00796190"/>
    <w:rsid w:val="007A4381"/>
    <w:rsid w:val="007A5DC0"/>
    <w:rsid w:val="007B38CA"/>
    <w:rsid w:val="007C490A"/>
    <w:rsid w:val="007D563C"/>
    <w:rsid w:val="007E24CB"/>
    <w:rsid w:val="007F1266"/>
    <w:rsid w:val="00804CDB"/>
    <w:rsid w:val="00805FE3"/>
    <w:rsid w:val="00807458"/>
    <w:rsid w:val="0081089D"/>
    <w:rsid w:val="00817DBA"/>
    <w:rsid w:val="008200A0"/>
    <w:rsid w:val="00824803"/>
    <w:rsid w:val="008431D1"/>
    <w:rsid w:val="00845986"/>
    <w:rsid w:val="00850659"/>
    <w:rsid w:val="00852C7A"/>
    <w:rsid w:val="00855384"/>
    <w:rsid w:val="00862068"/>
    <w:rsid w:val="008815F3"/>
    <w:rsid w:val="008851D3"/>
    <w:rsid w:val="008B150F"/>
    <w:rsid w:val="008B6B49"/>
    <w:rsid w:val="008E51AA"/>
    <w:rsid w:val="008F2D14"/>
    <w:rsid w:val="00901CDF"/>
    <w:rsid w:val="0091479E"/>
    <w:rsid w:val="0093212C"/>
    <w:rsid w:val="009355ED"/>
    <w:rsid w:val="00943C7E"/>
    <w:rsid w:val="00951B9B"/>
    <w:rsid w:val="00971683"/>
    <w:rsid w:val="009761E3"/>
    <w:rsid w:val="00986D82"/>
    <w:rsid w:val="009D059F"/>
    <w:rsid w:val="009D7C7E"/>
    <w:rsid w:val="009E5F2B"/>
    <w:rsid w:val="00A01BF5"/>
    <w:rsid w:val="00A1316E"/>
    <w:rsid w:val="00A24549"/>
    <w:rsid w:val="00A26332"/>
    <w:rsid w:val="00A4192A"/>
    <w:rsid w:val="00A442E7"/>
    <w:rsid w:val="00A55643"/>
    <w:rsid w:val="00A64996"/>
    <w:rsid w:val="00A673C9"/>
    <w:rsid w:val="00A72FCA"/>
    <w:rsid w:val="00A85286"/>
    <w:rsid w:val="00A9597A"/>
    <w:rsid w:val="00AA613D"/>
    <w:rsid w:val="00AB1460"/>
    <w:rsid w:val="00AC3636"/>
    <w:rsid w:val="00AD3F51"/>
    <w:rsid w:val="00AE1445"/>
    <w:rsid w:val="00AE7DCC"/>
    <w:rsid w:val="00AF3121"/>
    <w:rsid w:val="00AF4068"/>
    <w:rsid w:val="00B001E6"/>
    <w:rsid w:val="00B13FE2"/>
    <w:rsid w:val="00B15B84"/>
    <w:rsid w:val="00B16E05"/>
    <w:rsid w:val="00B2035B"/>
    <w:rsid w:val="00B21FB6"/>
    <w:rsid w:val="00B26A32"/>
    <w:rsid w:val="00B337D8"/>
    <w:rsid w:val="00B37BF0"/>
    <w:rsid w:val="00B43843"/>
    <w:rsid w:val="00B65585"/>
    <w:rsid w:val="00B7611E"/>
    <w:rsid w:val="00B77374"/>
    <w:rsid w:val="00B77B7E"/>
    <w:rsid w:val="00B82976"/>
    <w:rsid w:val="00B8504F"/>
    <w:rsid w:val="00BB021B"/>
    <w:rsid w:val="00BB1025"/>
    <w:rsid w:val="00BC0109"/>
    <w:rsid w:val="00BC5DCA"/>
    <w:rsid w:val="00BC765D"/>
    <w:rsid w:val="00BC796A"/>
    <w:rsid w:val="00BD5D16"/>
    <w:rsid w:val="00BD6FE1"/>
    <w:rsid w:val="00BD7B90"/>
    <w:rsid w:val="00BE4A7B"/>
    <w:rsid w:val="00C01760"/>
    <w:rsid w:val="00C0331D"/>
    <w:rsid w:val="00C17396"/>
    <w:rsid w:val="00C17A71"/>
    <w:rsid w:val="00C2058F"/>
    <w:rsid w:val="00C220BB"/>
    <w:rsid w:val="00C35CCE"/>
    <w:rsid w:val="00C37600"/>
    <w:rsid w:val="00C50D73"/>
    <w:rsid w:val="00C511DB"/>
    <w:rsid w:val="00C52B19"/>
    <w:rsid w:val="00C53D8E"/>
    <w:rsid w:val="00C63536"/>
    <w:rsid w:val="00C66D33"/>
    <w:rsid w:val="00C671F7"/>
    <w:rsid w:val="00C71F1D"/>
    <w:rsid w:val="00C72A75"/>
    <w:rsid w:val="00CA4BC9"/>
    <w:rsid w:val="00CB207B"/>
    <w:rsid w:val="00CC1192"/>
    <w:rsid w:val="00CC795E"/>
    <w:rsid w:val="00CF0CC3"/>
    <w:rsid w:val="00CF3EA6"/>
    <w:rsid w:val="00D07E2B"/>
    <w:rsid w:val="00D138D1"/>
    <w:rsid w:val="00D2722D"/>
    <w:rsid w:val="00D41235"/>
    <w:rsid w:val="00D567EB"/>
    <w:rsid w:val="00D96ECF"/>
    <w:rsid w:val="00DA546E"/>
    <w:rsid w:val="00DA5826"/>
    <w:rsid w:val="00DC1467"/>
    <w:rsid w:val="00DC1CF3"/>
    <w:rsid w:val="00DC46EE"/>
    <w:rsid w:val="00DD245C"/>
    <w:rsid w:val="00DF1CFE"/>
    <w:rsid w:val="00DF5536"/>
    <w:rsid w:val="00E03100"/>
    <w:rsid w:val="00E24580"/>
    <w:rsid w:val="00E30BB0"/>
    <w:rsid w:val="00E31FAA"/>
    <w:rsid w:val="00E41C98"/>
    <w:rsid w:val="00E42D5B"/>
    <w:rsid w:val="00E4496B"/>
    <w:rsid w:val="00E64B69"/>
    <w:rsid w:val="00E70304"/>
    <w:rsid w:val="00E803B4"/>
    <w:rsid w:val="00E81429"/>
    <w:rsid w:val="00E826E5"/>
    <w:rsid w:val="00EA7429"/>
    <w:rsid w:val="00EB1799"/>
    <w:rsid w:val="00EC0F66"/>
    <w:rsid w:val="00EC5C2A"/>
    <w:rsid w:val="00EC6BA9"/>
    <w:rsid w:val="00ED5730"/>
    <w:rsid w:val="00ED670B"/>
    <w:rsid w:val="00EE269E"/>
    <w:rsid w:val="00EE7566"/>
    <w:rsid w:val="00EF7909"/>
    <w:rsid w:val="00F02685"/>
    <w:rsid w:val="00F0560A"/>
    <w:rsid w:val="00F0662F"/>
    <w:rsid w:val="00F06A48"/>
    <w:rsid w:val="00F075D4"/>
    <w:rsid w:val="00F14E31"/>
    <w:rsid w:val="00F24669"/>
    <w:rsid w:val="00F4363B"/>
    <w:rsid w:val="00F52224"/>
    <w:rsid w:val="00F60A36"/>
    <w:rsid w:val="00F70900"/>
    <w:rsid w:val="00F9346F"/>
    <w:rsid w:val="00F97B80"/>
    <w:rsid w:val="00FA1378"/>
    <w:rsid w:val="00FE2998"/>
    <w:rsid w:val="00FF11D0"/>
    <w:rsid w:val="00FF5F74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1"/>
    <w:next w:val="a2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1"/>
    <w:next w:val="a2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1"/>
    <w:next w:val="a2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1"/>
    <w:next w:val="a2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1"/>
    <w:next w:val="a2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1"/>
    <w:next w:val="a2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1"/>
    <w:next w:val="a1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rsid w:val="00BC765D"/>
    <w:pPr>
      <w:ind w:firstLine="567"/>
    </w:pPr>
  </w:style>
  <w:style w:type="paragraph" w:styleId="a6">
    <w:name w:val="header"/>
    <w:basedOn w:val="a1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1"/>
    <w:next w:val="a1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1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1"/>
    <w:next w:val="a1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1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1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1"/>
    <w:next w:val="a1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1"/>
    <w:next w:val="a1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1"/>
    <w:next w:val="a1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1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2"/>
    <w:next w:val="a2"/>
    <w:rsid w:val="00BC765D"/>
    <w:pPr>
      <w:ind w:left="567" w:hanging="567"/>
    </w:pPr>
  </w:style>
  <w:style w:type="paragraph" w:styleId="ae">
    <w:name w:val="footer"/>
    <w:basedOn w:val="a1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1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2"/>
    <w:rsid w:val="00BC765D"/>
    <w:pPr>
      <w:ind w:left="567" w:firstLine="0"/>
    </w:pPr>
  </w:style>
  <w:style w:type="paragraph" w:customStyle="1" w:styleId="af0">
    <w:name w:val="Пример"/>
    <w:basedOn w:val="a2"/>
    <w:next w:val="a1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2"/>
    <w:next w:val="a1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1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2"/>
    <w:rsid w:val="00BC765D"/>
  </w:style>
  <w:style w:type="paragraph" w:customStyle="1" w:styleId="af4">
    <w:name w:val="Рисунок"/>
    <w:basedOn w:val="a2"/>
    <w:next w:val="a2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1"/>
    <w:next w:val="a1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1"/>
    <w:next w:val="a1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1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3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1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aff">
    <w:name w:val="List Paragraph"/>
    <w:basedOn w:val="a1"/>
    <w:uiPriority w:val="34"/>
    <w:qFormat/>
    <w:rsid w:val="00556A1B"/>
    <w:pPr>
      <w:ind w:left="720"/>
      <w:contextualSpacing/>
    </w:pPr>
  </w:style>
  <w:style w:type="paragraph" w:customStyle="1" w:styleId="Title2">
    <w:name w:val="Title 2"/>
    <w:basedOn w:val="a1"/>
    <w:qFormat/>
    <w:rsid w:val="00556A1B"/>
    <w:pPr>
      <w:keepNext/>
      <w:keepLines/>
      <w:pageBreakBefore/>
      <w:tabs>
        <w:tab w:val="num" w:pos="1080"/>
      </w:tabs>
      <w:overflowPunct/>
      <w:autoSpaceDE/>
      <w:autoSpaceDN/>
      <w:adjustRightInd/>
      <w:ind w:left="-648" w:hanging="432"/>
      <w:textAlignment w:val="auto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aff0">
    <w:name w:val="Подпункт"/>
    <w:basedOn w:val="a1"/>
    <w:qFormat/>
    <w:rsid w:val="00A673C9"/>
    <w:pPr>
      <w:tabs>
        <w:tab w:val="num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sz w:val="24"/>
      <w:szCs w:val="24"/>
    </w:rPr>
  </w:style>
  <w:style w:type="paragraph" w:customStyle="1" w:styleId="Tabo">
    <w:name w:val="Текст (Tab o)"/>
    <w:basedOn w:val="aff0"/>
    <w:qFormat/>
    <w:rsid w:val="00A673C9"/>
    <w:pPr>
      <w:numPr>
        <w:numId w:val="7"/>
      </w:numPr>
      <w:spacing w:before="0"/>
      <w:ind w:left="1418" w:hanging="567"/>
    </w:pPr>
    <w:rPr>
      <w:szCs w:val="20"/>
    </w:rPr>
  </w:style>
  <w:style w:type="paragraph" w:customStyle="1" w:styleId="a0">
    <w:name w:val="Текст (Таб Таб о)"/>
    <w:basedOn w:val="Tabo"/>
    <w:qFormat/>
    <w:rsid w:val="00A673C9"/>
    <w:pPr>
      <w:numPr>
        <w:ilvl w:val="1"/>
      </w:numPr>
      <w:tabs>
        <w:tab w:val="left" w:pos="1985"/>
      </w:tabs>
      <w:ind w:left="1985" w:hanging="567"/>
    </w:pPr>
  </w:style>
  <w:style w:type="paragraph" w:customStyle="1" w:styleId="Default">
    <w:name w:val="Default"/>
    <w:rsid w:val="00A442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Hyperlink"/>
    <w:basedOn w:val="a3"/>
    <w:uiPriority w:val="99"/>
    <w:unhideWhenUsed/>
    <w:rsid w:val="00FA1378"/>
    <w:rPr>
      <w:color w:val="0000FF" w:themeColor="hyperlink"/>
      <w:u w:val="single"/>
    </w:rPr>
  </w:style>
  <w:style w:type="character" w:styleId="aff2">
    <w:name w:val="Placeholder Text"/>
    <w:basedOn w:val="a3"/>
    <w:uiPriority w:val="99"/>
    <w:semiHidden/>
    <w:rsid w:val="00FA1378"/>
    <w:rPr>
      <w:color w:val="808080"/>
    </w:rPr>
  </w:style>
  <w:style w:type="paragraph" w:customStyle="1" w:styleId="ConsPlusNormal">
    <w:name w:val="ConsPlusNormal"/>
    <w:uiPriority w:val="99"/>
    <w:rsid w:val="00444629"/>
    <w:pPr>
      <w:autoSpaceDE w:val="0"/>
      <w:autoSpaceDN w:val="0"/>
      <w:adjustRightInd w:val="0"/>
    </w:pPr>
    <w:rPr>
      <w:rFonts w:ascii="Arial" w:hAnsi="Liberation Serif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1"/>
    <w:next w:val="a2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1"/>
    <w:next w:val="a2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1"/>
    <w:next w:val="a2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1"/>
    <w:next w:val="a2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1"/>
    <w:next w:val="a2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1"/>
    <w:next w:val="a2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1"/>
    <w:next w:val="a1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rsid w:val="00BC765D"/>
    <w:pPr>
      <w:ind w:firstLine="567"/>
    </w:pPr>
  </w:style>
  <w:style w:type="paragraph" w:styleId="a6">
    <w:name w:val="header"/>
    <w:basedOn w:val="a1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1"/>
    <w:next w:val="a1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1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1"/>
    <w:next w:val="a1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1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1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1"/>
    <w:next w:val="a1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1"/>
    <w:next w:val="a1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1"/>
    <w:next w:val="a1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1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2"/>
    <w:next w:val="a2"/>
    <w:rsid w:val="00BC765D"/>
    <w:pPr>
      <w:ind w:left="567" w:hanging="567"/>
    </w:pPr>
  </w:style>
  <w:style w:type="paragraph" w:styleId="ae">
    <w:name w:val="footer"/>
    <w:basedOn w:val="a1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1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2"/>
    <w:rsid w:val="00BC765D"/>
    <w:pPr>
      <w:ind w:left="567" w:firstLine="0"/>
    </w:pPr>
  </w:style>
  <w:style w:type="paragraph" w:customStyle="1" w:styleId="af0">
    <w:name w:val="Пример"/>
    <w:basedOn w:val="a2"/>
    <w:next w:val="a1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2"/>
    <w:next w:val="a1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1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2"/>
    <w:rsid w:val="00BC765D"/>
  </w:style>
  <w:style w:type="paragraph" w:customStyle="1" w:styleId="af4">
    <w:name w:val="Рисунок"/>
    <w:basedOn w:val="a2"/>
    <w:next w:val="a2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1"/>
    <w:next w:val="a1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1"/>
    <w:next w:val="a1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1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3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1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aff">
    <w:name w:val="List Paragraph"/>
    <w:basedOn w:val="a1"/>
    <w:uiPriority w:val="34"/>
    <w:qFormat/>
    <w:rsid w:val="00556A1B"/>
    <w:pPr>
      <w:ind w:left="720"/>
      <w:contextualSpacing/>
    </w:pPr>
  </w:style>
  <w:style w:type="paragraph" w:customStyle="1" w:styleId="Title2">
    <w:name w:val="Title 2"/>
    <w:basedOn w:val="a1"/>
    <w:qFormat/>
    <w:rsid w:val="00556A1B"/>
    <w:pPr>
      <w:keepNext/>
      <w:keepLines/>
      <w:pageBreakBefore/>
      <w:tabs>
        <w:tab w:val="num" w:pos="1080"/>
      </w:tabs>
      <w:overflowPunct/>
      <w:autoSpaceDE/>
      <w:autoSpaceDN/>
      <w:adjustRightInd/>
      <w:ind w:left="-648" w:hanging="432"/>
      <w:textAlignment w:val="auto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aff0">
    <w:name w:val="Подпункт"/>
    <w:basedOn w:val="a1"/>
    <w:qFormat/>
    <w:rsid w:val="00A673C9"/>
    <w:pPr>
      <w:tabs>
        <w:tab w:val="num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sz w:val="24"/>
      <w:szCs w:val="24"/>
    </w:rPr>
  </w:style>
  <w:style w:type="paragraph" w:customStyle="1" w:styleId="Tabo">
    <w:name w:val="Текст (Tab o)"/>
    <w:basedOn w:val="aff0"/>
    <w:qFormat/>
    <w:rsid w:val="00A673C9"/>
    <w:pPr>
      <w:numPr>
        <w:numId w:val="7"/>
      </w:numPr>
      <w:spacing w:before="0"/>
      <w:ind w:left="1418" w:hanging="567"/>
    </w:pPr>
    <w:rPr>
      <w:szCs w:val="20"/>
    </w:rPr>
  </w:style>
  <w:style w:type="paragraph" w:customStyle="1" w:styleId="a0">
    <w:name w:val="Текст (Таб Таб о)"/>
    <w:basedOn w:val="Tabo"/>
    <w:qFormat/>
    <w:rsid w:val="00A673C9"/>
    <w:pPr>
      <w:numPr>
        <w:ilvl w:val="1"/>
      </w:numPr>
      <w:tabs>
        <w:tab w:val="left" w:pos="1985"/>
      </w:tabs>
      <w:ind w:left="1985" w:hanging="567"/>
    </w:pPr>
  </w:style>
  <w:style w:type="paragraph" w:customStyle="1" w:styleId="Default">
    <w:name w:val="Default"/>
    <w:rsid w:val="00A442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Hyperlink"/>
    <w:basedOn w:val="a3"/>
    <w:uiPriority w:val="99"/>
    <w:unhideWhenUsed/>
    <w:rsid w:val="00FA1378"/>
    <w:rPr>
      <w:color w:val="0000FF" w:themeColor="hyperlink"/>
      <w:u w:val="single"/>
    </w:rPr>
  </w:style>
  <w:style w:type="character" w:styleId="aff2">
    <w:name w:val="Placeholder Text"/>
    <w:basedOn w:val="a3"/>
    <w:uiPriority w:val="99"/>
    <w:semiHidden/>
    <w:rsid w:val="00FA1378"/>
    <w:rPr>
      <w:color w:val="808080"/>
    </w:rPr>
  </w:style>
  <w:style w:type="paragraph" w:customStyle="1" w:styleId="ConsPlusNormal">
    <w:name w:val="ConsPlusNormal"/>
    <w:uiPriority w:val="99"/>
    <w:rsid w:val="00444629"/>
    <w:pPr>
      <w:autoSpaceDE w:val="0"/>
      <w:autoSpaceDN w:val="0"/>
      <w:adjustRightInd w:val="0"/>
    </w:pPr>
    <w:rPr>
      <w:rFonts w:ascii="Arial" w:hAnsi="Liberation Serif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6F93D2-A33B-4D8D-BD36-A91AA369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Senchenko Pavel</cp:lastModifiedBy>
  <cp:revision>20</cp:revision>
  <cp:lastPrinted>1996-11-11T04:26:00Z</cp:lastPrinted>
  <dcterms:created xsi:type="dcterms:W3CDTF">2014-05-27T15:41:00Z</dcterms:created>
  <dcterms:modified xsi:type="dcterms:W3CDTF">2014-06-05T14:22:00Z</dcterms:modified>
</cp:coreProperties>
</file>